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2D4EA" w14:textId="77777777" w:rsidR="00955D95" w:rsidRDefault="00955D95" w:rsidP="006D6726"/>
    <w:p w14:paraId="4CE79875" w14:textId="4314BD48" w:rsidR="00D52739" w:rsidRDefault="00B243D5" w:rsidP="006D6726">
      <w:r>
        <w:rPr>
          <w:rFonts w:hint="eastAsia"/>
        </w:rPr>
        <w:t>Dear editor:</w:t>
      </w:r>
    </w:p>
    <w:p w14:paraId="3E61A0C2" w14:textId="6E2EF037" w:rsidR="00D52739" w:rsidRDefault="00C16908" w:rsidP="00C16908">
      <w:pPr>
        <w:ind w:firstLineChars="200" w:firstLine="480"/>
      </w:pPr>
      <w:r w:rsidRPr="00C16908">
        <w:t xml:space="preserve">Last </w:t>
      </w:r>
      <w:r>
        <w:rPr>
          <w:rFonts w:hint="eastAsia"/>
        </w:rPr>
        <w:t>month</w:t>
      </w:r>
      <w:r w:rsidR="00992B81">
        <w:t>,</w:t>
      </w:r>
      <w:r w:rsidRPr="00C16908">
        <w:t xml:space="preserve"> I attended a conference and after my oral presentation, some experts raised questions regarding certain aspects of the manuscript. Following in-depth discussions with them, I realized that several sections of the manuscript require clarification and correction to ensure the accuracy and clarity of the work before publication. I sincerely apologize for the oversight and would greatly appreciate your guidance on the procedure to submit these revisions before the manuscript proceeds to production.</w:t>
      </w:r>
    </w:p>
    <w:p w14:paraId="080C1845" w14:textId="114AF82F" w:rsidR="00C16908" w:rsidRDefault="00C16908" w:rsidP="00C16908">
      <w:pPr>
        <w:ind w:firstLineChars="200" w:firstLine="480"/>
      </w:pPr>
      <w:r w:rsidRPr="00C16908">
        <w:t>The main question was that we used the wrong unit in Section 3. The change</w:t>
      </w:r>
      <w:r w:rsidR="00992B81">
        <w:t>s</w:t>
      </w:r>
      <w:r w:rsidRPr="00C16908">
        <w:t xml:space="preserve"> are as follows:</w:t>
      </w:r>
    </w:p>
    <w:p w14:paraId="6E793A24" w14:textId="17468940" w:rsidR="00500BD3" w:rsidRPr="007D7C4A" w:rsidRDefault="00500BD3" w:rsidP="00500BD3">
      <w:pPr>
        <w:rPr>
          <w:b/>
          <w:bCs/>
          <w:color w:val="0000FF"/>
        </w:rPr>
      </w:pPr>
      <w:r w:rsidRPr="007D7C4A">
        <w:rPr>
          <w:rFonts w:hint="eastAsia"/>
          <w:b/>
          <w:bCs/>
          <w:color w:val="0000FF"/>
        </w:rPr>
        <w:t>Page 1:</w:t>
      </w:r>
    </w:p>
    <w:p w14:paraId="3BB86633" w14:textId="77777777" w:rsidR="00500BD3" w:rsidRPr="00903D73" w:rsidRDefault="00500BD3" w:rsidP="00500BD3">
      <w:pPr>
        <w:rPr>
          <w:color w:val="EE0000"/>
        </w:rPr>
      </w:pPr>
      <w:r>
        <w:rPr>
          <w:rFonts w:hint="eastAsia"/>
        </w:rPr>
        <w:t xml:space="preserve">Line 22: </w:t>
      </w:r>
      <w:r>
        <w:t>“</w:t>
      </w:r>
      <w:r>
        <w:rPr>
          <w:rFonts w:hint="eastAsia"/>
        </w:rPr>
        <w:t>~30% of</w:t>
      </w:r>
      <w:r>
        <w:t>”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 w:rsidRPr="00903D73">
        <w:rPr>
          <w:color w:val="EE0000"/>
        </w:rPr>
        <w:t>“</w:t>
      </w:r>
      <w:r w:rsidRPr="00903D73">
        <w:rPr>
          <w:rFonts w:hint="eastAsia"/>
          <w:color w:val="EE0000"/>
        </w:rPr>
        <w:t>0.5 ppt to</w:t>
      </w:r>
      <w:r w:rsidRPr="00903D73">
        <w:rPr>
          <w:color w:val="EE0000"/>
        </w:rPr>
        <w:t>”</w:t>
      </w:r>
    </w:p>
    <w:p w14:paraId="70E9BE37" w14:textId="0FA400AD" w:rsidR="003D45FD" w:rsidRPr="007D7C4A" w:rsidRDefault="003D45FD" w:rsidP="003D45FD">
      <w:pPr>
        <w:rPr>
          <w:b/>
          <w:bCs/>
          <w:color w:val="0000FF"/>
        </w:rPr>
      </w:pPr>
      <w:r w:rsidRPr="007D7C4A">
        <w:rPr>
          <w:rFonts w:hint="eastAsia"/>
          <w:b/>
          <w:bCs/>
          <w:color w:val="0000FF"/>
        </w:rPr>
        <w:t>Page 10:</w:t>
      </w:r>
    </w:p>
    <w:p w14:paraId="4F475794" w14:textId="77777777" w:rsidR="006D662D" w:rsidRDefault="006D662D" w:rsidP="006D662D">
      <w:r w:rsidRPr="00D52739">
        <w:rPr>
          <w:rFonts w:hint="eastAsia"/>
          <w:color w:val="0000FF"/>
        </w:rPr>
        <w:t>Line 56:</w:t>
      </w:r>
      <w:r>
        <w:rPr>
          <w:rFonts w:hint="eastAsia"/>
        </w:rPr>
        <w:t xml:space="preserve"> </w:t>
      </w:r>
      <w:r>
        <w:t>“</w:t>
      </w:r>
      <w:r w:rsidRPr="003D45FD">
        <w:t>254–1062 ppt</w:t>
      </w:r>
      <w:r>
        <w:t>”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1.8</w:t>
      </w:r>
      <w:r w:rsidRPr="003D45FD">
        <w:t>–</w:t>
      </w:r>
      <w:r>
        <w:rPr>
          <w:rFonts w:hint="eastAsia"/>
        </w:rPr>
        <w:t>7.7</w:t>
      </w:r>
      <w:r w:rsidRPr="003D45FD">
        <w:t xml:space="preserve"> ppt</w:t>
      </w:r>
      <w:r>
        <w:t>”</w:t>
      </w:r>
    </w:p>
    <w:p w14:paraId="5AB0C7E9" w14:textId="60BF3C84" w:rsidR="00FD2F00" w:rsidRPr="00903D73" w:rsidRDefault="00FD2F00" w:rsidP="006D662D">
      <w:pPr>
        <w:rPr>
          <w:color w:val="EE0000"/>
        </w:rPr>
      </w:pPr>
      <w:r w:rsidRPr="00D52739">
        <w:rPr>
          <w:rFonts w:hint="eastAsia"/>
          <w:color w:val="0000FF"/>
        </w:rPr>
        <w:t>Line 57:</w:t>
      </w:r>
      <w:r>
        <w:rPr>
          <w:rFonts w:hint="eastAsia"/>
        </w:rPr>
        <w:t xml:space="preserve"> </w:t>
      </w:r>
      <w:r w:rsidR="003F7138">
        <w:t>“</w:t>
      </w:r>
      <w:r>
        <w:t>These values exceed the observed</w:t>
      </w:r>
      <w:r>
        <w:rPr>
          <w:rFonts w:hint="eastAsia"/>
        </w:rPr>
        <w:t xml:space="preserve"> </w:t>
      </w:r>
      <w:r>
        <w:t>CFC-11 concentration of 249</w:t>
      </w:r>
      <w:r>
        <w:rPr>
          <w:rFonts w:hint="eastAsia"/>
        </w:rPr>
        <w:t>±</w:t>
      </w:r>
      <w:r>
        <w:t>13 ppt at Mount Tai</w:t>
      </w:r>
      <w:r>
        <w:rPr>
          <w:rFonts w:hint="eastAsia"/>
        </w:rPr>
        <w:t xml:space="preserve"> </w:t>
      </w:r>
      <w:r>
        <w:t>during winter 2017–spring 2018 (Huang et al., 2021)</w:t>
      </w:r>
      <w:r>
        <w:rPr>
          <w:rFonts w:hint="eastAsia"/>
        </w:rPr>
        <w:t>.</w:t>
      </w:r>
      <w:r w:rsidR="003F7138">
        <w:t>”</w:t>
      </w:r>
      <w:r w:rsidR="003F7138">
        <w:rPr>
          <w:rFonts w:hint="eastAsia"/>
        </w:rPr>
        <w:t xml:space="preserve"> </w:t>
      </w:r>
      <w:r w:rsidR="003F7138">
        <w:rPr>
          <w:rFonts w:hint="eastAsia"/>
        </w:rPr>
        <w:t>→</w:t>
      </w:r>
      <w:r w:rsidR="003F7138">
        <w:rPr>
          <w:rFonts w:hint="eastAsia"/>
        </w:rPr>
        <w:t xml:space="preserve"> </w:t>
      </w:r>
      <w:r w:rsidR="003F7138" w:rsidRPr="00903D73">
        <w:rPr>
          <w:color w:val="EE0000"/>
        </w:rPr>
        <w:t>“CFC-11 emissions from coal combustion in Shandong and Hebei provinces during January contributed to 21.5 ppt and 7.0 ppt of CFC-11 observed at Mount Tai (117.1°E, 36.3°N), which was 249 ± 13 ppt during winter 2017~spring 2018 (Huang et al., 2021).”</w:t>
      </w:r>
    </w:p>
    <w:p w14:paraId="7EF7975D" w14:textId="4F2FE7BF" w:rsidR="006D662D" w:rsidRPr="00903D73" w:rsidRDefault="006D662D" w:rsidP="006D662D">
      <w:pPr>
        <w:rPr>
          <w:color w:val="EE0000"/>
        </w:rPr>
      </w:pPr>
      <w:r w:rsidRPr="00D52739">
        <w:rPr>
          <w:rFonts w:hint="eastAsia"/>
          <w:color w:val="0000FF"/>
        </w:rPr>
        <w:t>Line 63: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51.8</w:t>
      </w:r>
      <w:r w:rsidRPr="003D45FD">
        <w:t xml:space="preserve"> ppt</w:t>
      </w:r>
      <w:r>
        <w:t>”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 w:rsidRPr="00903D73">
        <w:rPr>
          <w:color w:val="EE0000"/>
        </w:rPr>
        <w:t>“</w:t>
      </w:r>
      <w:r w:rsidRPr="00903D73">
        <w:rPr>
          <w:rFonts w:hint="eastAsia"/>
          <w:color w:val="EE0000"/>
        </w:rPr>
        <w:t>0.4</w:t>
      </w:r>
      <w:r w:rsidRPr="00903D73">
        <w:rPr>
          <w:color w:val="EE0000"/>
        </w:rPr>
        <w:t xml:space="preserve"> ppt”</w:t>
      </w:r>
    </w:p>
    <w:p w14:paraId="033E4284" w14:textId="08FAAA30" w:rsidR="006D662D" w:rsidRPr="00903D73" w:rsidRDefault="006D662D" w:rsidP="006D662D">
      <w:pPr>
        <w:rPr>
          <w:color w:val="EE0000"/>
        </w:rPr>
      </w:pPr>
      <w:r w:rsidRPr="00D52739">
        <w:rPr>
          <w:rFonts w:hint="eastAsia"/>
          <w:color w:val="0000FF"/>
        </w:rPr>
        <w:t>Line 65: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17.6</w:t>
      </w:r>
      <w:r w:rsidRPr="003D45FD">
        <w:t xml:space="preserve"> ppt</w:t>
      </w:r>
      <w:r>
        <w:t>”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 w:rsidRPr="00903D73">
        <w:rPr>
          <w:rFonts w:hint="eastAsia"/>
          <w:color w:val="EE0000"/>
        </w:rPr>
        <w:t xml:space="preserve"> </w:t>
      </w:r>
      <w:r w:rsidRPr="00903D73">
        <w:rPr>
          <w:color w:val="EE0000"/>
        </w:rPr>
        <w:t>“</w:t>
      </w:r>
      <w:r w:rsidRPr="00903D73">
        <w:rPr>
          <w:rFonts w:hint="eastAsia"/>
          <w:color w:val="EE0000"/>
        </w:rPr>
        <w:t>0.1</w:t>
      </w:r>
      <w:r w:rsidRPr="00903D73">
        <w:rPr>
          <w:color w:val="EE0000"/>
        </w:rPr>
        <w:t xml:space="preserve"> ppt”</w:t>
      </w:r>
    </w:p>
    <w:p w14:paraId="4745CF96" w14:textId="71A6DDEF" w:rsidR="00E073EA" w:rsidRDefault="00E073EA" w:rsidP="00E073EA">
      <w:r w:rsidRPr="00D52739">
        <w:rPr>
          <w:rFonts w:hint="eastAsia"/>
          <w:color w:val="0000FF"/>
        </w:rPr>
        <w:t>Line 69:</w:t>
      </w:r>
      <w:r>
        <w:rPr>
          <w:rFonts w:hint="eastAsia"/>
        </w:rPr>
        <w:t xml:space="preserve"> </w:t>
      </w:r>
      <w:r>
        <w:t>“Our simulations suggested that CFC-11 emissions</w:t>
      </w:r>
      <w:r>
        <w:rPr>
          <w:rFonts w:hint="eastAsia"/>
        </w:rPr>
        <w:t xml:space="preserve"> </w:t>
      </w:r>
      <w:r>
        <w:t>from coal combustion in Hebei and Shandong contributed approximately 51.8 and 17.6 ppt, respectively. They</w:t>
      </w:r>
    </w:p>
    <w:p w14:paraId="268E3FFD" w14:textId="5B287ED2" w:rsidR="008270C3" w:rsidRDefault="00E073EA" w:rsidP="00E073EA">
      <w:r>
        <w:t xml:space="preserve">accounted for </w:t>
      </w:r>
      <w:r>
        <w:rPr>
          <w:rFonts w:hint="eastAsia"/>
        </w:rPr>
        <w:t>~</w:t>
      </w:r>
      <w:r>
        <w:t>30% of the measured ambient value.</w:t>
      </w:r>
      <w:r w:rsidR="00C80AE4">
        <w:t>”</w:t>
      </w:r>
      <w:r w:rsidR="00C80AE4">
        <w:rPr>
          <w:rFonts w:hint="eastAsia"/>
        </w:rPr>
        <w:t xml:space="preserve"> </w:t>
      </w:r>
      <w:r w:rsidR="00C80AE4">
        <w:rPr>
          <w:rFonts w:hint="eastAsia"/>
        </w:rPr>
        <w:t>→</w:t>
      </w:r>
      <w:r w:rsidR="00C80AE4">
        <w:rPr>
          <w:rFonts w:hint="eastAsia"/>
        </w:rPr>
        <w:t xml:space="preserve"> </w:t>
      </w:r>
      <w:r w:rsidR="00C80AE4" w:rsidRPr="00903D73">
        <w:rPr>
          <w:color w:val="EE0000"/>
        </w:rPr>
        <w:t xml:space="preserve">“Our simulations suggested that CFC-11 emissions from coal combustion in Hebei and Shandong might contribute to the increased CFC-11 concentration observed at </w:t>
      </w:r>
      <w:proofErr w:type="spellStart"/>
      <w:r w:rsidR="00C80AE4" w:rsidRPr="00903D73">
        <w:rPr>
          <w:color w:val="EE0000"/>
        </w:rPr>
        <w:t>Gosan</w:t>
      </w:r>
      <w:proofErr w:type="spellEnd"/>
      <w:r w:rsidR="00C80AE4" w:rsidRPr="00903D73">
        <w:rPr>
          <w:color w:val="EE0000"/>
        </w:rPr>
        <w:t xml:space="preserve"> station obviously.”</w:t>
      </w:r>
    </w:p>
    <w:p w14:paraId="691AAEFC" w14:textId="77777777" w:rsidR="00710D0B" w:rsidRDefault="00710D0B" w:rsidP="003654A4">
      <w:pPr>
        <w:rPr>
          <w:b/>
          <w:bCs/>
          <w:color w:val="0000FF"/>
        </w:rPr>
      </w:pPr>
    </w:p>
    <w:p w14:paraId="0BE47B3E" w14:textId="77777777" w:rsidR="00710D0B" w:rsidRDefault="00710D0B" w:rsidP="003654A4">
      <w:pPr>
        <w:rPr>
          <w:b/>
          <w:bCs/>
          <w:color w:val="0000FF"/>
        </w:rPr>
      </w:pPr>
    </w:p>
    <w:p w14:paraId="7F39B2F2" w14:textId="77777777" w:rsidR="00710D0B" w:rsidRDefault="00710D0B" w:rsidP="003654A4">
      <w:pPr>
        <w:rPr>
          <w:b/>
          <w:bCs/>
          <w:color w:val="0000FF"/>
        </w:rPr>
      </w:pPr>
    </w:p>
    <w:p w14:paraId="674BBA2B" w14:textId="5758A834" w:rsidR="003654A4" w:rsidRPr="007D7C4A" w:rsidRDefault="003654A4" w:rsidP="003654A4">
      <w:pPr>
        <w:rPr>
          <w:b/>
          <w:bCs/>
          <w:color w:val="0000FF"/>
        </w:rPr>
      </w:pPr>
      <w:r w:rsidRPr="007D7C4A">
        <w:rPr>
          <w:rFonts w:hint="eastAsia"/>
          <w:b/>
          <w:bCs/>
          <w:color w:val="0000FF"/>
        </w:rPr>
        <w:lastRenderedPageBreak/>
        <w:t>Page 11:</w:t>
      </w:r>
    </w:p>
    <w:p w14:paraId="5F31E33A" w14:textId="7A8017A2" w:rsidR="003654A4" w:rsidRPr="00903D73" w:rsidRDefault="003654A4" w:rsidP="00DF2CEB">
      <w:pPr>
        <w:rPr>
          <w:color w:val="EE0000"/>
        </w:rPr>
      </w:pPr>
      <w:r w:rsidRPr="00D52739">
        <w:rPr>
          <w:rFonts w:hint="eastAsia"/>
          <w:color w:val="0000FF"/>
        </w:rPr>
        <w:t xml:space="preserve">Line </w:t>
      </w:r>
      <w:r w:rsidR="00692CA0">
        <w:rPr>
          <w:rFonts w:hint="eastAsia"/>
          <w:color w:val="0000FF"/>
        </w:rPr>
        <w:t>1</w:t>
      </w:r>
      <w:r w:rsidRPr="00D52739">
        <w:rPr>
          <w:rFonts w:hint="eastAsia"/>
          <w:color w:val="0000FF"/>
        </w:rPr>
        <w:t>6:</w:t>
      </w:r>
      <w:r>
        <w:rPr>
          <w:rFonts w:hint="eastAsia"/>
        </w:rPr>
        <w:t xml:space="preserve"> </w:t>
      </w:r>
      <w:r>
        <w:t>“</w:t>
      </w:r>
      <w:r w:rsidR="00DF2CEB">
        <w:t>emissions</w:t>
      </w:r>
      <w:r w:rsidR="00DF2CEB">
        <w:rPr>
          <w:rFonts w:hint="eastAsia"/>
        </w:rPr>
        <w:t xml:space="preserve"> </w:t>
      </w:r>
      <w:r w:rsidR="00DF2CEB">
        <w:t>from Hebei and Shandong accounted for approximately</w:t>
      </w:r>
      <w:r w:rsidR="00DF2CEB">
        <w:rPr>
          <w:rFonts w:hint="eastAsia"/>
        </w:rPr>
        <w:t xml:space="preserve"> </w:t>
      </w:r>
      <w:r w:rsidR="00DF2CEB">
        <w:t>30% of the average CFC-11 concentration in January 2016.</w:t>
      </w:r>
      <w:r>
        <w:t>”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 w:rsidRPr="00903D73">
        <w:rPr>
          <w:color w:val="EE0000"/>
        </w:rPr>
        <w:t>“</w:t>
      </w:r>
      <w:r w:rsidR="001B46CC" w:rsidRPr="00903D73">
        <w:rPr>
          <w:color w:val="EE0000"/>
        </w:rPr>
        <w:t>emissions from Hebei and Shandong contributed 0.4 ppt and 0.1 ppt to the average CFC-11 concentration in January 2016, respectively.</w:t>
      </w:r>
      <w:r w:rsidRPr="00903D73">
        <w:rPr>
          <w:color w:val="EE0000"/>
        </w:rPr>
        <w:t>”</w:t>
      </w:r>
    </w:p>
    <w:p w14:paraId="32224206" w14:textId="77777777" w:rsidR="003654A4" w:rsidRPr="003654A4" w:rsidRDefault="003654A4" w:rsidP="00E073EA"/>
    <w:sectPr w:rsidR="003654A4" w:rsidRPr="00365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94348"/>
    <w:multiLevelType w:val="hybridMultilevel"/>
    <w:tmpl w:val="4E0ECE9E"/>
    <w:lvl w:ilvl="0" w:tplc="7ACEA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0481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WzsLQ0NzIxNzQyNTVT0lEKTi0uzszPAykwqgUACG2IvCwAAAA="/>
  </w:docVars>
  <w:rsids>
    <w:rsidRoot w:val="00000836"/>
    <w:rsid w:val="00000836"/>
    <w:rsid w:val="00022308"/>
    <w:rsid w:val="00055335"/>
    <w:rsid w:val="00083E85"/>
    <w:rsid w:val="000A35AD"/>
    <w:rsid w:val="000A7164"/>
    <w:rsid w:val="000D563D"/>
    <w:rsid w:val="000F1CCD"/>
    <w:rsid w:val="001015EB"/>
    <w:rsid w:val="001040AA"/>
    <w:rsid w:val="001316FC"/>
    <w:rsid w:val="001403DC"/>
    <w:rsid w:val="0016566A"/>
    <w:rsid w:val="00177000"/>
    <w:rsid w:val="001824CE"/>
    <w:rsid w:val="001A002E"/>
    <w:rsid w:val="001B309E"/>
    <w:rsid w:val="001B46CC"/>
    <w:rsid w:val="001B6373"/>
    <w:rsid w:val="001C346D"/>
    <w:rsid w:val="00221507"/>
    <w:rsid w:val="002217C0"/>
    <w:rsid w:val="002335E3"/>
    <w:rsid w:val="00236703"/>
    <w:rsid w:val="002374F6"/>
    <w:rsid w:val="00270D82"/>
    <w:rsid w:val="0027252E"/>
    <w:rsid w:val="0027754D"/>
    <w:rsid w:val="00287928"/>
    <w:rsid w:val="002D279B"/>
    <w:rsid w:val="002E4B3F"/>
    <w:rsid w:val="002F3755"/>
    <w:rsid w:val="002F5340"/>
    <w:rsid w:val="00300C17"/>
    <w:rsid w:val="00311048"/>
    <w:rsid w:val="00324CD8"/>
    <w:rsid w:val="003654A4"/>
    <w:rsid w:val="00371145"/>
    <w:rsid w:val="00377156"/>
    <w:rsid w:val="00387C44"/>
    <w:rsid w:val="003D3C6E"/>
    <w:rsid w:val="003D45FD"/>
    <w:rsid w:val="003F7138"/>
    <w:rsid w:val="00414D1A"/>
    <w:rsid w:val="004301BE"/>
    <w:rsid w:val="00431A50"/>
    <w:rsid w:val="00495D5D"/>
    <w:rsid w:val="004A2BE3"/>
    <w:rsid w:val="004A2D37"/>
    <w:rsid w:val="004B01FE"/>
    <w:rsid w:val="004B72C3"/>
    <w:rsid w:val="004E2AC7"/>
    <w:rsid w:val="004E5DA0"/>
    <w:rsid w:val="00500BD3"/>
    <w:rsid w:val="00510C17"/>
    <w:rsid w:val="00536A54"/>
    <w:rsid w:val="005877A7"/>
    <w:rsid w:val="00594C92"/>
    <w:rsid w:val="005957A8"/>
    <w:rsid w:val="005B534B"/>
    <w:rsid w:val="005C51A6"/>
    <w:rsid w:val="005F5F69"/>
    <w:rsid w:val="00601C2A"/>
    <w:rsid w:val="006327D9"/>
    <w:rsid w:val="00665FA0"/>
    <w:rsid w:val="00672886"/>
    <w:rsid w:val="00680700"/>
    <w:rsid w:val="00692CA0"/>
    <w:rsid w:val="006A5E94"/>
    <w:rsid w:val="006B1133"/>
    <w:rsid w:val="006D5D25"/>
    <w:rsid w:val="006D662D"/>
    <w:rsid w:val="006D6726"/>
    <w:rsid w:val="006E3096"/>
    <w:rsid w:val="00710D0B"/>
    <w:rsid w:val="0074174C"/>
    <w:rsid w:val="007500A0"/>
    <w:rsid w:val="00754379"/>
    <w:rsid w:val="007616A9"/>
    <w:rsid w:val="00771571"/>
    <w:rsid w:val="00773E82"/>
    <w:rsid w:val="00781BEB"/>
    <w:rsid w:val="007A32F0"/>
    <w:rsid w:val="007B4B9E"/>
    <w:rsid w:val="007C2B29"/>
    <w:rsid w:val="007D7C4A"/>
    <w:rsid w:val="007F5655"/>
    <w:rsid w:val="008270C3"/>
    <w:rsid w:val="008419EE"/>
    <w:rsid w:val="0085023D"/>
    <w:rsid w:val="00850AFD"/>
    <w:rsid w:val="00874066"/>
    <w:rsid w:val="0087431E"/>
    <w:rsid w:val="00903D73"/>
    <w:rsid w:val="0090513B"/>
    <w:rsid w:val="00924AE1"/>
    <w:rsid w:val="009301CA"/>
    <w:rsid w:val="0093479A"/>
    <w:rsid w:val="00955D95"/>
    <w:rsid w:val="00960C7F"/>
    <w:rsid w:val="00992B81"/>
    <w:rsid w:val="009A0E54"/>
    <w:rsid w:val="009D5D09"/>
    <w:rsid w:val="009E3CE0"/>
    <w:rsid w:val="00A030E8"/>
    <w:rsid w:val="00A1435B"/>
    <w:rsid w:val="00A3430F"/>
    <w:rsid w:val="00A47410"/>
    <w:rsid w:val="00A54407"/>
    <w:rsid w:val="00A622E0"/>
    <w:rsid w:val="00A80180"/>
    <w:rsid w:val="00A8102F"/>
    <w:rsid w:val="00A961D4"/>
    <w:rsid w:val="00AD31C6"/>
    <w:rsid w:val="00B20845"/>
    <w:rsid w:val="00B223A4"/>
    <w:rsid w:val="00B243D5"/>
    <w:rsid w:val="00B31208"/>
    <w:rsid w:val="00B31519"/>
    <w:rsid w:val="00B669DA"/>
    <w:rsid w:val="00BB4D9A"/>
    <w:rsid w:val="00BB755A"/>
    <w:rsid w:val="00BE4E0E"/>
    <w:rsid w:val="00C04EF5"/>
    <w:rsid w:val="00C1678C"/>
    <w:rsid w:val="00C16908"/>
    <w:rsid w:val="00C329F6"/>
    <w:rsid w:val="00C51A6C"/>
    <w:rsid w:val="00C51C40"/>
    <w:rsid w:val="00C63576"/>
    <w:rsid w:val="00C77E84"/>
    <w:rsid w:val="00C80AE4"/>
    <w:rsid w:val="00C84F3F"/>
    <w:rsid w:val="00CE6F33"/>
    <w:rsid w:val="00CF28A9"/>
    <w:rsid w:val="00D24B35"/>
    <w:rsid w:val="00D3380D"/>
    <w:rsid w:val="00D52739"/>
    <w:rsid w:val="00D931B9"/>
    <w:rsid w:val="00D95EF6"/>
    <w:rsid w:val="00DB3E39"/>
    <w:rsid w:val="00DD4F78"/>
    <w:rsid w:val="00DF10DB"/>
    <w:rsid w:val="00DF11D6"/>
    <w:rsid w:val="00DF2CEB"/>
    <w:rsid w:val="00E029E5"/>
    <w:rsid w:val="00E073EA"/>
    <w:rsid w:val="00E16CAA"/>
    <w:rsid w:val="00E26C72"/>
    <w:rsid w:val="00E77864"/>
    <w:rsid w:val="00EB5DA6"/>
    <w:rsid w:val="00EC5357"/>
    <w:rsid w:val="00EF0C96"/>
    <w:rsid w:val="00F14455"/>
    <w:rsid w:val="00F1455E"/>
    <w:rsid w:val="00F30243"/>
    <w:rsid w:val="00F31C1E"/>
    <w:rsid w:val="00F41164"/>
    <w:rsid w:val="00F90D30"/>
    <w:rsid w:val="00F93D95"/>
    <w:rsid w:val="00F979FF"/>
    <w:rsid w:val="00FC6A77"/>
    <w:rsid w:val="00FD2F00"/>
    <w:rsid w:val="00FD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F04D64"/>
  <w15:chartTrackingRefBased/>
  <w15:docId w15:val="{43D8CA20-7403-4EFD-BA01-B65F4143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theme="minorBidi"/>
        <w:kern w:val="2"/>
        <w:sz w:val="24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083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0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083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0836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836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F5496" w:themeColor="accent1" w:themeShade="BF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0836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0836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0836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0836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083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08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08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0836"/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0836"/>
    <w:rPr>
      <w:rFonts w:asciiTheme="minorHAnsi" w:eastAsiaTheme="minorEastAsia" w:hAnsiTheme="minorHAnsi" w:cstheme="majorBidi"/>
      <w:color w:val="2F5496" w:themeColor="accent1" w:themeShade="BF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0836"/>
    <w:rPr>
      <w:rFonts w:asciiTheme="minorHAnsi" w:eastAsiaTheme="minorEastAsia" w:hAnsiTheme="minorHAnsi" w:cstheme="majorBidi"/>
      <w:b/>
      <w:bCs/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0836"/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0836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0836"/>
    <w:rPr>
      <w:rFonts w:asciiTheme="minorHAnsi" w:eastAsiaTheme="majorEastAsia" w:hAnsiTheme="minorHAnsi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0083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0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083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083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08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08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08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08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08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08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0836"/>
    <w:rPr>
      <w:b/>
      <w:bCs/>
      <w:smallCaps/>
      <w:color w:val="2F5496" w:themeColor="accent1" w:themeShade="BF"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27252E"/>
    <w:pPr>
      <w:spacing w:after="240" w:line="240" w:lineRule="auto"/>
    </w:pPr>
  </w:style>
  <w:style w:type="character" w:styleId="Hyperlink">
    <w:name w:val="Hyperlink"/>
    <w:basedOn w:val="DefaultParagraphFont"/>
    <w:uiPriority w:val="99"/>
    <w:unhideWhenUsed/>
    <w:rsid w:val="003110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1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niuzhenzhen</dc:creator>
  <cp:keywords/>
  <dc:description/>
  <cp:lastModifiedBy>Brian Tuffy</cp:lastModifiedBy>
  <cp:revision>3</cp:revision>
  <dcterms:created xsi:type="dcterms:W3CDTF">2025-10-27T09:22:00Z</dcterms:created>
  <dcterms:modified xsi:type="dcterms:W3CDTF">2025-10-27T09:22:00Z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zotero-version="6.0.36"&gt;&lt;session id="yjMSGvJj"/&gt;&lt;style id="http://www.zotero.org/styles/earth-system-science-data" hasBibliography="1" bibliographyStyleHasBeenSet="1"/&gt;&lt;prefs&gt;&lt;pref name="fieldType" value="Field"/&gt;&lt;/prefs&gt;&lt;/data&gt;</vt:lpwstr>
  </property>
</Properties>
</file>