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7B" w:rsidRDefault="009F2D7B" w:rsidP="009F2D7B">
      <w:pPr>
        <w:pStyle w:val="Titre"/>
        <w:rPr>
          <w:rFonts w:ascii="Times New Roman" w:eastAsia="Times New Roman" w:hAnsi="Times New Roman" w:cs="Times New Roman"/>
          <w:b/>
          <w:sz w:val="34"/>
          <w:szCs w:val="34"/>
          <w:shd w:val="clear" w:color="auto" w:fill="FFFFFF"/>
          <w:lang w:eastAsia="fr-FR"/>
        </w:rPr>
      </w:pPr>
      <w:r w:rsidRPr="009F2D7B">
        <w:rPr>
          <w:rFonts w:ascii="Times New Roman" w:eastAsia="Times New Roman" w:hAnsi="Times New Roman" w:cs="Times New Roman"/>
          <w:b/>
          <w:sz w:val="34"/>
          <w:szCs w:val="34"/>
          <w:shd w:val="clear" w:color="auto" w:fill="FFFFFF"/>
          <w:lang w:eastAsia="fr-FR"/>
        </w:rPr>
        <w:t xml:space="preserve">Supplementary </w:t>
      </w:r>
      <w:proofErr w:type="spellStart"/>
      <w:r w:rsidRPr="009F2D7B">
        <w:rPr>
          <w:rFonts w:ascii="Times New Roman" w:eastAsia="Times New Roman" w:hAnsi="Times New Roman" w:cs="Times New Roman"/>
          <w:b/>
          <w:sz w:val="34"/>
          <w:szCs w:val="34"/>
          <w:shd w:val="clear" w:color="auto" w:fill="FFFFFF"/>
          <w:lang w:eastAsia="fr-FR"/>
        </w:rPr>
        <w:t>materials</w:t>
      </w:r>
      <w:proofErr w:type="spellEnd"/>
    </w:p>
    <w:p w:rsidR="009F2D7B" w:rsidRDefault="009F2D7B" w:rsidP="009F2D7B">
      <w:pPr>
        <w:rPr>
          <w:lang w:eastAsia="fr-FR"/>
        </w:rPr>
      </w:pPr>
    </w:p>
    <w:p w:rsidR="009F2D7B" w:rsidRDefault="009F2D7B" w:rsidP="009F2D7B">
      <w:pPr>
        <w:pStyle w:val="Lgende"/>
      </w:pPr>
      <w:r>
        <w:t>Table</w:t>
      </w:r>
      <w:r>
        <w:t xml:space="preserve"> </w:t>
      </w:r>
      <w:r>
        <w:t>S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6750AD">
        <w:rPr>
          <w:noProof/>
        </w:rPr>
        <w:t>1</w:t>
      </w:r>
      <w:r>
        <w:rPr>
          <w:noProof/>
        </w:rPr>
        <w:fldChar w:fldCharType="end"/>
      </w:r>
      <w:r>
        <w:t>:</w:t>
      </w:r>
      <w:r w:rsidRPr="009F2D7B">
        <w:t xml:space="preserve"> </w:t>
      </w:r>
      <w:r>
        <w:t>E</w:t>
      </w:r>
      <w:r w:rsidRPr="009F2D7B">
        <w:t xml:space="preserve">volution of </w:t>
      </w:r>
      <w:r w:rsidR="006750AD">
        <w:t xml:space="preserve">the </w:t>
      </w:r>
      <w:r w:rsidRPr="009F2D7B">
        <w:t xml:space="preserve">monitoring of the different parameters </w:t>
      </w:r>
      <w:r w:rsidR="008934F8">
        <w:t xml:space="preserve">(hydrological, biological and plankton) </w:t>
      </w:r>
      <w:r>
        <w:t xml:space="preserve">at the </w:t>
      </w:r>
      <w:r w:rsidRPr="00E7445C">
        <w:t>“C</w:t>
      </w:r>
      <w:r w:rsidR="008934F8">
        <w:t xml:space="preserve">anal d’Amenée” sampling station </w:t>
      </w:r>
      <w:r w:rsidR="006750AD">
        <w:t xml:space="preserve">of the </w:t>
      </w:r>
      <w:r w:rsidRPr="00E7445C">
        <w:t>Gravelines</w:t>
      </w:r>
      <w:r w:rsidR="008934F8">
        <w:t xml:space="preserve"> N</w:t>
      </w:r>
      <w:r w:rsidR="006750AD">
        <w:t xml:space="preserve">uclear </w:t>
      </w:r>
      <w:r w:rsidR="008934F8">
        <w:t>P</w:t>
      </w:r>
      <w:r w:rsidR="006750AD">
        <w:t xml:space="preserve">ower </w:t>
      </w:r>
      <w:r w:rsidR="008934F8">
        <w:t>P</w:t>
      </w:r>
      <w:r w:rsidR="006750AD">
        <w:t>lant</w:t>
      </w:r>
      <w:r w:rsidR="008934F8">
        <w:t xml:space="preserve"> since 1978</w:t>
      </w:r>
      <w:r>
        <w:t>.</w:t>
      </w:r>
    </w:p>
    <w:tbl>
      <w:tblPr>
        <w:tblW w:w="9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4"/>
        <w:gridCol w:w="1455"/>
        <w:gridCol w:w="1456"/>
        <w:gridCol w:w="1456"/>
        <w:gridCol w:w="1456"/>
        <w:gridCol w:w="2621"/>
      </w:tblGrid>
      <w:tr w:rsidR="009F2D7B" w:rsidRPr="009F2D7B" w:rsidTr="003D48F2">
        <w:trPr>
          <w:trHeight w:val="225"/>
          <w:tblHeader/>
        </w:trPr>
        <w:tc>
          <w:tcPr>
            <w:tcW w:w="904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Parameter</w:t>
            </w:r>
            <w:proofErr w:type="spellEnd"/>
          </w:p>
        </w:tc>
        <w:tc>
          <w:tcPr>
            <w:tcW w:w="1455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Start date</w:t>
            </w:r>
          </w:p>
        </w:tc>
        <w:tc>
          <w:tcPr>
            <w:tcW w:w="1456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End date</w:t>
            </w:r>
          </w:p>
        </w:tc>
        <w:tc>
          <w:tcPr>
            <w:tcW w:w="1456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Frequency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Analyst</w:t>
            </w:r>
            <w:proofErr w:type="spellEnd"/>
          </w:p>
        </w:tc>
        <w:tc>
          <w:tcPr>
            <w:tcW w:w="2621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Method</w:t>
            </w:r>
          </w:p>
        </w:tc>
      </w:tr>
      <w:tr w:rsidR="00676F7D" w:rsidRPr="009F2D7B" w:rsidTr="009F2D7B">
        <w:trPr>
          <w:trHeight w:val="195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TEMP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02/03/1978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26/11/1985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Reversing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thermometer</w:t>
            </w:r>
            <w:proofErr w:type="spellEnd"/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10/03/1986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29/12/1986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Reversing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thermometer</w:t>
            </w:r>
            <w:proofErr w:type="spellEnd"/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05/01/1987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27/12/2012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  <w:t>In situ</w:t>
            </w: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sensor</w:t>
            </w:r>
            <w:proofErr w:type="spellEnd"/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03/01/2013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  <w:t>In situ</w:t>
            </w: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sensor</w:t>
            </w:r>
            <w:proofErr w:type="spellEnd"/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SALI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07/02/1978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27/05/1986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Conductivity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sensor</w:t>
            </w:r>
            <w:proofErr w:type="spellEnd"/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29/05/1990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09/10/1995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2/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year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Conductivity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sensor</w:t>
            </w:r>
            <w:proofErr w:type="spellEnd"/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19/03/1996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27/09/2000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2/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year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PELAGOS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Conductivity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sensor</w:t>
            </w:r>
            <w:proofErr w:type="spellEnd"/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07/03/2001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25/09/2007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2/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year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LERBL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  <w:t>In situ</w:t>
            </w: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sensor</w:t>
            </w:r>
            <w:proofErr w:type="spellEnd"/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28/11/2007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17/12/2012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LERBL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  <w:t>In situ</w:t>
            </w: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sensor</w:t>
            </w:r>
            <w:proofErr w:type="spellEnd"/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03/01/2013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  <w:t>In situ</w:t>
            </w: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sensor</w:t>
            </w:r>
            <w:proofErr w:type="spellEnd"/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TURB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29/03/2016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03/12/2018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Optical ISO 7027</w:t>
            </w:r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08/01/2019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  <w:t>In situ</w:t>
            </w: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ISO 7027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OXYGENE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02/03/1978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18/06/1986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Winkler titration</w:t>
            </w:r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29/03/2016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Luminescence 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sensor</w:t>
            </w:r>
            <w:proofErr w:type="spellEnd"/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NH4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07/02/1978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20/09/1986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Aminot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1983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01/07/1987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21/09/1988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2/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year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Aminot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1983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27/11/1989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22/05/1991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Aminot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1983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29/12/1997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27/12/2012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T90-015-2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03/01/2013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19/12/2018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T90-015-2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01/01/2019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Aminot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2007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NO3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07/02/1978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20/09/1986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27/11/1989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22/05/1991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Aminot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1983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05/11/1999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27/12/2012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EN ISO 13395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03/01/2013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19/12/2018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EN ISO 13395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01/01/2019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Aminot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2007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NO2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07/02/1978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18/06/1986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27/11/1989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22/05/1991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03/11/2000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17/09/2001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IPL***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29/10/2001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21/10/2003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02/07/2012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27/12/2012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EN ISO 13395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03/01/2013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19/12/2018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EN ISO 13395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01/01/2019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Aminot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2007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NO3+NO2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01/07/1987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21/09/1988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2/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year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29/12/1997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27/10/1999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EN ISO 13395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06/11/2002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21/10/2003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04/11/2008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27/10/2010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EN ISO 13395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PO4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07/02/1978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18/06/1986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27/11/1989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22/05/1991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06/11/2002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21/10/2003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29/03/2016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26/12/2018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EN ISO 6878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08/01/2019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Aminot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2007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SIOH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07/02/1978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18/06/1986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27/11/1989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22/05/1991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Tréguer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1975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29/03/2016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03/12/2018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NF T90-007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9F2D7B" w:rsidRPr="009F2D7B" w:rsidTr="009F2D7B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08/01/2019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Aminot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2007 (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spectro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CHLOROA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07/02/1978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20/09/1986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UNESCO 1966 (tri)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16/04/1987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23/09/1987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3/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year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IPLLN**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Lorenzen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1967 (mono)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06/05/1988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21/09/1988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3/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year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LERBL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Lorenzen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1967 (mono)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09/01/1989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28/10/1997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UNESCO 1966 (tri)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03/11/1997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26/10/1998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Lorenzen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1967 (mono)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02/11/1998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27/12/2012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UNESCO 1966 (tri)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03/01/2013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26/12/2018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UNESCO 1966 (tri)</w:t>
            </w:r>
          </w:p>
        </w:tc>
      </w:tr>
      <w:tr w:rsidR="009F2D7B" w:rsidRPr="009F2D7B" w:rsidTr="003D48F2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31/12/2018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Lorenzen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1967 (mono)</w:t>
            </w:r>
          </w:p>
        </w:tc>
      </w:tr>
      <w:tr w:rsidR="003D48F2" w:rsidRPr="009F2D7B" w:rsidTr="003D48F2">
        <w:trPr>
          <w:trHeight w:val="195"/>
        </w:trPr>
        <w:tc>
          <w:tcPr>
            <w:tcW w:w="904" w:type="dxa"/>
            <w:tcBorders>
              <w:top w:val="single" w:sz="12" w:space="0" w:color="auto"/>
            </w:tcBorders>
            <w:vAlign w:val="center"/>
          </w:tcPr>
          <w:p w:rsidR="003D48F2" w:rsidRPr="009F2D7B" w:rsidRDefault="003D48F2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48F2" w:rsidRPr="009F2D7B" w:rsidRDefault="003D48F2" w:rsidP="009F2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48F2" w:rsidRPr="009F2D7B" w:rsidRDefault="003D48F2" w:rsidP="009F2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48F2" w:rsidRPr="009F2D7B" w:rsidRDefault="003D48F2" w:rsidP="009F2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48F2" w:rsidRPr="009F2D7B" w:rsidRDefault="003D48F2" w:rsidP="009F2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48F2" w:rsidRPr="009F2D7B" w:rsidRDefault="003D48F2" w:rsidP="009F2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</w:tr>
      <w:tr w:rsidR="003D48F2" w:rsidRPr="009F2D7B" w:rsidTr="003D48F2">
        <w:trPr>
          <w:trHeight w:val="180"/>
        </w:trPr>
        <w:tc>
          <w:tcPr>
            <w:tcW w:w="904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lastRenderedPageBreak/>
              <w:t>PHEO</w:t>
            </w: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07/02/1978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20/09/1986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Lorenzen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1967 (mono)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06/05/1988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21/09/1988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3/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year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LERBL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Lorenzen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1967 (mono)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09/01/1989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28/10/1997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Méthode EDF (tri)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03/11/1997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26/10/1998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Lorenzen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1967 (mono)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02/11/1998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27/12/2012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Eurofins</w:t>
            </w:r>
            <w:proofErr w:type="spellEnd"/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Méthode EDF (tri)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03/01/2013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26/12/2018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Méthode EDF (tri)</w:t>
            </w:r>
          </w:p>
        </w:tc>
      </w:tr>
      <w:tr w:rsidR="009F2D7B" w:rsidRPr="009F2D7B" w:rsidTr="00676F7D">
        <w:trPr>
          <w:trHeight w:val="195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31/12/2018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Flandres Analyses</w:t>
            </w:r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Lorenzen</w:t>
            </w:r>
            <w:proofErr w:type="spellEnd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1967 (mono)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 w:val="restart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FLORTOT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07/02/1978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20/09/1986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LERBL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F22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Microscope</w:t>
            </w:r>
            <w:r w:rsid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proofErr w:type="spellStart"/>
            <w:r w:rsidR="00F22572" w:rsidRP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Utermöhl</w:t>
            </w:r>
            <w:proofErr w:type="spellEnd"/>
            <w:r w:rsid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, </w:t>
            </w:r>
            <w:r w:rsidR="00F22572" w:rsidRP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1958</w:t>
            </w:r>
            <w:r w:rsid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9F2D7B">
        <w:trPr>
          <w:trHeight w:val="180"/>
        </w:trPr>
        <w:tc>
          <w:tcPr>
            <w:tcW w:w="904" w:type="dxa"/>
            <w:vMerge/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06/05/1988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06/05/1988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1/</w:t>
            </w: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year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LERBL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Microscope</w:t>
            </w:r>
            <w:r w:rsid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proofErr w:type="spellStart"/>
            <w:r w:rsidR="00F22572" w:rsidRP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Utermöhl</w:t>
            </w:r>
            <w:proofErr w:type="spellEnd"/>
            <w:r w:rsid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, </w:t>
            </w:r>
            <w:r w:rsidR="00F22572" w:rsidRP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1958</w:t>
            </w:r>
            <w:r w:rsid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676F7D">
        <w:trPr>
          <w:trHeight w:val="210"/>
        </w:trPr>
        <w:tc>
          <w:tcPr>
            <w:tcW w:w="90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09/01/1989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Weekly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LERBL</w:t>
            </w:r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F2D7B" w:rsidRPr="009F2D7B" w:rsidRDefault="009F2D7B" w:rsidP="009F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Microscope</w:t>
            </w:r>
            <w:r w:rsid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proofErr w:type="spellStart"/>
            <w:r w:rsidR="00F22572" w:rsidRP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Utermöhl</w:t>
            </w:r>
            <w:proofErr w:type="spellEnd"/>
            <w:r w:rsid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, </w:t>
            </w:r>
            <w:r w:rsidR="00F22572" w:rsidRP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1958</w:t>
            </w:r>
            <w:r w:rsidR="00F22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</w:tr>
      <w:tr w:rsidR="00676F7D" w:rsidRPr="009F2D7B" w:rsidTr="00676F7D">
        <w:trPr>
          <w:trHeight w:val="210"/>
        </w:trPr>
        <w:tc>
          <w:tcPr>
            <w:tcW w:w="904" w:type="dxa"/>
            <w:tcBorders>
              <w:top w:val="single" w:sz="12" w:space="0" w:color="auto"/>
            </w:tcBorders>
            <w:vAlign w:val="center"/>
          </w:tcPr>
          <w:p w:rsidR="00676F7D" w:rsidRPr="00676F7D" w:rsidRDefault="00676F7D" w:rsidP="009F2D7B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fr-FR"/>
              </w:rPr>
            </w:pPr>
            <w:r w:rsidRPr="00676F7D">
              <w:rPr>
                <w:rFonts w:eastAsia="Times New Roman" w:cstheme="minorHAnsi"/>
                <w:b/>
                <w:sz w:val="16"/>
                <w:szCs w:val="16"/>
                <w:lang w:eastAsia="fr-FR"/>
              </w:rPr>
              <w:t>AINDVSNP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Pr="009F2D7B" w:rsidRDefault="00676F7D" w:rsidP="009F2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17/08/1978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Pr="009F2D7B" w:rsidRDefault="00676F7D" w:rsidP="009F2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24/09/1985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Pr="009F2D7B" w:rsidRDefault="00676F7D" w:rsidP="009F2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Pr="009F2D7B" w:rsidRDefault="00676F7D" w:rsidP="009F2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PELAGOS</w:t>
            </w:r>
          </w:p>
        </w:tc>
        <w:tc>
          <w:tcPr>
            <w:tcW w:w="2621" w:type="dxa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Pr="009F2D7B" w:rsidRDefault="00676F7D" w:rsidP="009F2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Binocular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microscope</w:t>
            </w:r>
          </w:p>
        </w:tc>
      </w:tr>
      <w:tr w:rsidR="00676F7D" w:rsidRPr="009F2D7B" w:rsidTr="00676F7D">
        <w:trPr>
          <w:trHeight w:val="210"/>
        </w:trPr>
        <w:tc>
          <w:tcPr>
            <w:tcW w:w="904" w:type="dxa"/>
            <w:vAlign w:val="center"/>
          </w:tcPr>
          <w:p w:rsidR="00676F7D" w:rsidRPr="00676F7D" w:rsidRDefault="00676F7D" w:rsidP="00676F7D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Default="00676F7D" w:rsidP="00676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13/04/1986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Default="00676F7D" w:rsidP="00676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21/09/1988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Default="00676F7D" w:rsidP="00676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Seasonal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Pr="009F2D7B" w:rsidRDefault="00676F7D" w:rsidP="00676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PELAGOS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F7D" w:rsidRPr="009F2D7B" w:rsidRDefault="00676F7D" w:rsidP="00676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Binocular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microscope</w:t>
            </w:r>
          </w:p>
        </w:tc>
      </w:tr>
      <w:tr w:rsidR="00B577EC" w:rsidRPr="009F2D7B" w:rsidTr="00B577EC">
        <w:trPr>
          <w:trHeight w:val="210"/>
        </w:trPr>
        <w:tc>
          <w:tcPr>
            <w:tcW w:w="904" w:type="dxa"/>
            <w:vAlign w:val="center"/>
          </w:tcPr>
          <w:p w:rsidR="00B577EC" w:rsidRPr="00676F7D" w:rsidRDefault="00B577EC" w:rsidP="00B577EC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Default="00B577EC" w:rsidP="00B57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09/05/1989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Default="00B577EC" w:rsidP="00B57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11/10/2005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Default="00B577EC" w:rsidP="00B577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Pr="009F2D7B" w:rsidRDefault="00B577EC" w:rsidP="00B577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PELAGOS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Pr="009F2D7B" w:rsidRDefault="00B577EC" w:rsidP="00B577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Binocular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microscope</w:t>
            </w:r>
          </w:p>
        </w:tc>
      </w:tr>
      <w:tr w:rsidR="00B577EC" w:rsidRPr="009F2D7B" w:rsidTr="00B577EC">
        <w:trPr>
          <w:trHeight w:val="210"/>
        </w:trPr>
        <w:tc>
          <w:tcPr>
            <w:tcW w:w="904" w:type="dxa"/>
            <w:vAlign w:val="center"/>
          </w:tcPr>
          <w:p w:rsidR="00B577EC" w:rsidRPr="00676F7D" w:rsidRDefault="00B577EC" w:rsidP="00B577EC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45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Default="00B577EC" w:rsidP="00B57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23/11/2005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Default="00B577EC" w:rsidP="00B57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04/10/2006</w:t>
            </w:r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Default="00B577EC" w:rsidP="00B577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Pr="009F2D7B" w:rsidRDefault="00075293" w:rsidP="00B577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SMW*</w:t>
            </w:r>
          </w:p>
        </w:tc>
        <w:tc>
          <w:tcPr>
            <w:tcW w:w="262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Pr="009F2D7B" w:rsidRDefault="00B577EC" w:rsidP="00B577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Binocular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microscope</w:t>
            </w:r>
          </w:p>
        </w:tc>
      </w:tr>
      <w:tr w:rsidR="00B577EC" w:rsidRPr="009F2D7B" w:rsidTr="00676F7D">
        <w:trPr>
          <w:trHeight w:val="210"/>
        </w:trPr>
        <w:tc>
          <w:tcPr>
            <w:tcW w:w="904" w:type="dxa"/>
            <w:tcBorders>
              <w:bottom w:val="single" w:sz="12" w:space="0" w:color="auto"/>
            </w:tcBorders>
            <w:vAlign w:val="center"/>
          </w:tcPr>
          <w:p w:rsidR="00B577EC" w:rsidRPr="00676F7D" w:rsidRDefault="00B577EC" w:rsidP="00B577EC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Default="00B577EC" w:rsidP="00B57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15/11/2006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Default="00B577EC" w:rsidP="00B57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now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Default="00B577EC" w:rsidP="00B577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Monthly</w:t>
            </w:r>
            <w:proofErr w:type="spellEnd"/>
          </w:p>
        </w:tc>
        <w:tc>
          <w:tcPr>
            <w:tcW w:w="1456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Pr="009F2D7B" w:rsidRDefault="00B577EC" w:rsidP="00B577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9F2D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Ifremer LERBL</w:t>
            </w:r>
          </w:p>
        </w:tc>
        <w:tc>
          <w:tcPr>
            <w:tcW w:w="2621" w:type="dxa"/>
            <w:tcBorders>
              <w:bottom w:val="single" w:sz="12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577EC" w:rsidRPr="009F2D7B" w:rsidRDefault="00B577EC" w:rsidP="00B577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Binocular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microscope</w:t>
            </w:r>
          </w:p>
        </w:tc>
      </w:tr>
    </w:tbl>
    <w:p w:rsidR="009F2D7B" w:rsidRPr="009F2D7B" w:rsidRDefault="009F2D7B" w:rsidP="009F2D7B">
      <w:pPr>
        <w:spacing w:after="0" w:line="240" w:lineRule="auto"/>
        <w:ind w:left="70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F2D7B">
        <w:rPr>
          <w:rFonts w:ascii="Calibri" w:eastAsia="Times New Roman" w:hAnsi="Calibri" w:cs="Calibri"/>
          <w:color w:val="000000"/>
          <w:sz w:val="16"/>
          <w:szCs w:val="16"/>
          <w:lang w:eastAsia="fr-FR"/>
        </w:rPr>
        <w:t>* Station Marine de Wimereux</w:t>
      </w:r>
    </w:p>
    <w:p w:rsidR="009F2D7B" w:rsidRPr="009F2D7B" w:rsidRDefault="009F2D7B" w:rsidP="009F2D7B">
      <w:pPr>
        <w:spacing w:after="0" w:line="240" w:lineRule="auto"/>
        <w:ind w:left="70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F2D7B">
        <w:rPr>
          <w:rFonts w:ascii="Calibri" w:eastAsia="Times New Roman" w:hAnsi="Calibri" w:cs="Calibri"/>
          <w:color w:val="000000"/>
          <w:sz w:val="16"/>
          <w:szCs w:val="16"/>
          <w:lang w:eastAsia="fr-FR"/>
        </w:rPr>
        <w:t>** Institut Pasteur de Lille - Laboratoire Santé, Environnement Durables Littoral Nord – Gravelines</w:t>
      </w:r>
    </w:p>
    <w:p w:rsidR="009F2D7B" w:rsidRPr="009F2D7B" w:rsidRDefault="009F2D7B" w:rsidP="009F2D7B">
      <w:pPr>
        <w:spacing w:after="0" w:line="240" w:lineRule="auto"/>
        <w:ind w:left="70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F2D7B">
        <w:rPr>
          <w:rFonts w:ascii="Calibri" w:eastAsia="Times New Roman" w:hAnsi="Calibri" w:cs="Calibri"/>
          <w:color w:val="000000"/>
          <w:sz w:val="16"/>
          <w:szCs w:val="16"/>
          <w:lang w:eastAsia="fr-FR"/>
        </w:rPr>
        <w:t>*** Institut Pasteur de Lille – Service des Eaux</w:t>
      </w:r>
    </w:p>
    <w:p w:rsidR="009F2D7B" w:rsidRPr="009F2D7B" w:rsidRDefault="009F2D7B" w:rsidP="009F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F2D7B" w:rsidRPr="009F2D7B" w:rsidRDefault="009F2D7B" w:rsidP="009F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F2D7B">
        <w:rPr>
          <w:rFonts w:ascii="Calibri" w:eastAsia="Times New Roman" w:hAnsi="Calibri" w:cs="Calibri"/>
          <w:noProof/>
          <w:color w:val="000000"/>
          <w:bdr w:val="none" w:sz="0" w:space="0" w:color="auto" w:frame="1"/>
          <w:lang w:eastAsia="fr-FR"/>
        </w:rPr>
        <w:drawing>
          <wp:inline distT="0" distB="0" distL="0" distR="0">
            <wp:extent cx="5760000" cy="3211200"/>
            <wp:effectExtent l="0" t="0" r="0" b="8255"/>
            <wp:docPr id="4" name="Image 4" descr="https://lh7-rt.googleusercontent.com/docsz/AD_4nXcT5425JsCaNLgEC_0lJKsWglg0HIb6hFe2wvYe3ItcjLZ93OV_gLtDls2IK0Lg7vcOME1oNo2nfe8boKJcEpGa7bCGdwiMw5hHbXeeY8d1-bNHgm5r3IgOH6KfvHlpbgkDs7BuC8rDwIkgwYae8WAx8Hr6?key=ybY9Vg9rX9KmFwE5p3DC-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rt.googleusercontent.com/docsz/AD_4nXcT5425JsCaNLgEC_0lJKsWglg0HIb6hFe2wvYe3ItcjLZ93OV_gLtDls2IK0Lg7vcOME1oNo2nfe8boKJcEpGa7bCGdwiMw5hHbXeeY8d1-bNHgm5r3IgOH6KfvHlpbgkDs7BuC8rDwIkgwYae8WAx8Hr6?key=ybY9Vg9rX9KmFwE5p3DC-Q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4F8" w:rsidRDefault="008934F8" w:rsidP="008934F8">
      <w:pPr>
        <w:pStyle w:val="Lgende"/>
      </w:pPr>
      <w:r>
        <w:t>Figure</w:t>
      </w:r>
      <w:r>
        <w:t xml:space="preserve"> S</w:t>
      </w:r>
      <w:r w:rsidR="00367348">
        <w:t>1</w:t>
      </w:r>
      <w:bookmarkStart w:id="0" w:name="_GoBack"/>
      <w:bookmarkEnd w:id="0"/>
      <w:r>
        <w:t>:</w:t>
      </w:r>
      <w:r w:rsidRPr="009F2D7B">
        <w:t xml:space="preserve"> </w:t>
      </w:r>
      <w:r w:rsidR="006750AD">
        <w:t>Distribution of p</w:t>
      </w:r>
      <w:r w:rsidRPr="008934F8">
        <w:t>hysico</w:t>
      </w:r>
      <w:r w:rsidR="006750AD">
        <w:t>-</w:t>
      </w:r>
      <w:r w:rsidRPr="008934F8">
        <w:t>chemical samples (all parameters together) at the “Canal d’Amenée” station</w:t>
      </w:r>
      <w:r w:rsidR="006750AD">
        <w:t xml:space="preserve"> during the IGA survey</w:t>
      </w:r>
      <w:r w:rsidRPr="008934F8">
        <w:t xml:space="preserve">. </w:t>
      </w:r>
      <w:r w:rsidR="006750AD">
        <w:t>The w</w:t>
      </w:r>
      <w:r w:rsidRPr="008934F8">
        <w:t xml:space="preserve">hite squares </w:t>
      </w:r>
      <w:r w:rsidR="006750AD">
        <w:t xml:space="preserve">indicate </w:t>
      </w:r>
      <w:r w:rsidRPr="008934F8">
        <w:t xml:space="preserve">months with at least one sample </w:t>
      </w:r>
      <w:r w:rsidR="006750AD">
        <w:t xml:space="preserve">collected, while the </w:t>
      </w:r>
      <w:r w:rsidRPr="008934F8">
        <w:t xml:space="preserve">black squares </w:t>
      </w:r>
      <w:r w:rsidR="006750AD">
        <w:t>represent months without sampling</w:t>
      </w:r>
      <w:r w:rsidRPr="008934F8">
        <w:t>.</w:t>
      </w:r>
    </w:p>
    <w:p w:rsidR="009F2D7B" w:rsidRPr="009F2D7B" w:rsidRDefault="009F2D7B" w:rsidP="009F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F2D7B">
        <w:rPr>
          <w:rFonts w:ascii="Calibri" w:eastAsia="Times New Roman" w:hAnsi="Calibri" w:cs="Calibri"/>
          <w:noProof/>
          <w:color w:val="000000"/>
          <w:bdr w:val="none" w:sz="0" w:space="0" w:color="auto" w:frame="1"/>
          <w:lang w:eastAsia="fr-FR"/>
        </w:rPr>
        <w:lastRenderedPageBreak/>
        <w:drawing>
          <wp:inline distT="0" distB="0" distL="0" distR="0">
            <wp:extent cx="5760000" cy="2678400"/>
            <wp:effectExtent l="0" t="0" r="0" b="8255"/>
            <wp:docPr id="3" name="Image 3" descr="https://lh7-rt.googleusercontent.com/docsz/AD_4nXdRchT17bQDgqjSQSFhSNf1duWTLDYr6OhOnhwsARNRMWNtTfkgD1_V8cX11zTipPHVvrxaF_ABRUnpWhiOhg_2V7pgvkjpm46FQI7Sw5EjKzCWIzbGDjYGcCl2cvfCWYqqw3dyXZIOBKTLYS9HFfpn3yxt?key=ybY9Vg9rX9KmFwE5p3DC-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7-rt.googleusercontent.com/docsz/AD_4nXdRchT17bQDgqjSQSFhSNf1duWTLDYr6OhOnhwsARNRMWNtTfkgD1_V8cX11zTipPHVvrxaF_ABRUnpWhiOhg_2V7pgvkjpm46FQI7Sw5EjKzCWIzbGDjYGcCl2cvfCWYqqw3dyXZIOBKTLYS9HFfpn3yxt?key=ybY9Vg9rX9KmFwE5p3DC-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6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4F8" w:rsidRDefault="008934F8" w:rsidP="008934F8">
      <w:pPr>
        <w:pStyle w:val="Lgende"/>
      </w:pPr>
      <w:r>
        <w:t>Figure S</w:t>
      </w:r>
      <w:r>
        <w:t>2</w:t>
      </w:r>
      <w:r>
        <w:t>:</w:t>
      </w:r>
      <w:r w:rsidRPr="009F2D7B">
        <w:t xml:space="preserve"> </w:t>
      </w:r>
      <w:r w:rsidR="006750AD">
        <w:t>Distribution of p</w:t>
      </w:r>
      <w:r w:rsidRPr="008934F8">
        <w:t>hytoplankton samples at the “Canal d’Amenée” station</w:t>
      </w:r>
      <w:r w:rsidR="006750AD">
        <w:t xml:space="preserve"> during the IGA survey</w:t>
      </w:r>
      <w:r w:rsidRPr="008934F8">
        <w:t xml:space="preserve">. </w:t>
      </w:r>
      <w:r w:rsidR="006750AD">
        <w:t>The b</w:t>
      </w:r>
      <w:r w:rsidRPr="008934F8">
        <w:t xml:space="preserve">lack squares </w:t>
      </w:r>
      <w:r w:rsidR="006750AD">
        <w:t xml:space="preserve">represent </w:t>
      </w:r>
      <w:r w:rsidRPr="008934F8">
        <w:t>months with at least one sample</w:t>
      </w:r>
      <w:r w:rsidR="006750AD">
        <w:t xml:space="preserve"> collected, while the </w:t>
      </w:r>
      <w:r w:rsidRPr="008934F8">
        <w:t xml:space="preserve">white squares </w:t>
      </w:r>
      <w:r w:rsidR="006750AD">
        <w:t xml:space="preserve">indicate </w:t>
      </w:r>
      <w:r w:rsidRPr="008934F8">
        <w:t>months without sampl</w:t>
      </w:r>
      <w:r w:rsidR="006750AD">
        <w:t>ing</w:t>
      </w:r>
      <w:r w:rsidRPr="008934F8">
        <w:t>.</w:t>
      </w:r>
    </w:p>
    <w:p w:rsidR="005B4ECB" w:rsidRDefault="005B4ECB" w:rsidP="005B4ECB">
      <w:pPr>
        <w:pStyle w:val="NormalWeb"/>
      </w:pPr>
      <w:r>
        <w:rPr>
          <w:noProof/>
        </w:rPr>
        <w:drawing>
          <wp:inline distT="0" distB="0" distL="0" distR="0">
            <wp:extent cx="5760000" cy="1648800"/>
            <wp:effectExtent l="0" t="0" r="0" b="8890"/>
            <wp:docPr id="6" name="Image 6" descr="C:\Users\gwacquet\AppData\Local\Packages\Microsoft.Windows.Photos_8wekyb3d8bbwe\TempState\ShareServiceTempFolder\DatesSamplesZo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gwacquet\AppData\Local\Packages\Microsoft.Windows.Photos_8wekyb3d8bbwe\TempState\ShareServiceTempFolder\DatesSamplesZoo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6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597" w:rsidRPr="008934F8" w:rsidRDefault="008934F8" w:rsidP="008934F8">
      <w:pPr>
        <w:pStyle w:val="Lgende"/>
      </w:pPr>
      <w:r>
        <w:t>Figure S</w:t>
      </w:r>
      <w:r>
        <w:t>3</w:t>
      </w:r>
      <w:r>
        <w:t>:</w:t>
      </w:r>
      <w:r w:rsidRPr="009F2D7B">
        <w:t xml:space="preserve"> </w:t>
      </w:r>
      <w:r w:rsidR="006750AD">
        <w:t>Distribution of z</w:t>
      </w:r>
      <w:r w:rsidRPr="008934F8">
        <w:t>ooplankton samples at the “Canal d’Amenée” station</w:t>
      </w:r>
      <w:r w:rsidR="006750AD">
        <w:t xml:space="preserve"> during the IGA survey</w:t>
      </w:r>
      <w:r w:rsidRPr="008934F8">
        <w:t>.</w:t>
      </w:r>
      <w:r w:rsidR="006750AD">
        <w:t xml:space="preserve"> The b</w:t>
      </w:r>
      <w:r w:rsidRPr="008934F8">
        <w:t xml:space="preserve">lack squares </w:t>
      </w:r>
      <w:r w:rsidR="006750AD">
        <w:t xml:space="preserve">indicate </w:t>
      </w:r>
      <w:r w:rsidRPr="008934F8">
        <w:t>months with a</w:t>
      </w:r>
      <w:r w:rsidR="006750AD">
        <w:t>t least one</w:t>
      </w:r>
      <w:r w:rsidRPr="008934F8">
        <w:t xml:space="preserve"> sample </w:t>
      </w:r>
      <w:r w:rsidR="006750AD">
        <w:t xml:space="preserve">collected, while the </w:t>
      </w:r>
      <w:r w:rsidRPr="008934F8">
        <w:t xml:space="preserve">white squares </w:t>
      </w:r>
      <w:r w:rsidR="006750AD">
        <w:t xml:space="preserve">represent </w:t>
      </w:r>
      <w:r w:rsidRPr="008934F8">
        <w:t>months without sampl</w:t>
      </w:r>
      <w:r w:rsidR="006750AD">
        <w:t>ing</w:t>
      </w:r>
      <w:r w:rsidRPr="008934F8">
        <w:t>.</w:t>
      </w:r>
    </w:p>
    <w:sectPr w:rsidR="00522597" w:rsidRPr="0089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D7B"/>
    <w:rsid w:val="00075293"/>
    <w:rsid w:val="00133055"/>
    <w:rsid w:val="00346976"/>
    <w:rsid w:val="00367348"/>
    <w:rsid w:val="003D48F2"/>
    <w:rsid w:val="005B4ECB"/>
    <w:rsid w:val="006750AD"/>
    <w:rsid w:val="00676F7D"/>
    <w:rsid w:val="008934F8"/>
    <w:rsid w:val="009F2D7B"/>
    <w:rsid w:val="00B577EC"/>
    <w:rsid w:val="00CD5C3D"/>
    <w:rsid w:val="00F2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554B"/>
  <w15:chartTrackingRefBased/>
  <w15:docId w15:val="{8F0B7518-A250-439B-B8BF-F32D5FDD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2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9F2D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2D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gende">
    <w:name w:val="caption"/>
    <w:basedOn w:val="Normal"/>
    <w:next w:val="Normal"/>
    <w:uiPriority w:val="35"/>
    <w:unhideWhenUsed/>
    <w:qFormat/>
    <w:rsid w:val="009F2D7B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5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50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5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850</Words>
  <Characters>4681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WACQUET, Ifremer Boulogne PDG-ODE-LITT</dc:creator>
  <cp:keywords/>
  <dc:description/>
  <cp:lastModifiedBy>Guillaume WACQUET, Ifremer Boulogne PDG-ODE-LITT</cp:lastModifiedBy>
  <cp:revision>13</cp:revision>
  <cp:lastPrinted>2024-08-26T07:50:00Z</cp:lastPrinted>
  <dcterms:created xsi:type="dcterms:W3CDTF">2024-08-23T08:03:00Z</dcterms:created>
  <dcterms:modified xsi:type="dcterms:W3CDTF">2024-08-27T09:26:00Z</dcterms:modified>
</cp:coreProperties>
</file>