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0395" w14:textId="67212944" w:rsidR="000F7C80" w:rsidRDefault="000F7C80" w:rsidP="000F7C80">
      <w:pPr>
        <w:pStyle w:val="Bodyparagraph"/>
      </w:pPr>
      <w:r w:rsidRPr="000F7C80">
        <w:rPr>
          <w:noProof/>
        </w:rPr>
        <w:drawing>
          <wp:inline distT="0" distB="0" distL="0" distR="0" wp14:anchorId="7E38F7C8" wp14:editId="5C24EDCF">
            <wp:extent cx="5731510" cy="7604760"/>
            <wp:effectExtent l="0" t="0" r="2540" b="0"/>
            <wp:docPr id="988811966" name="Picture 1" descr="A close 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11966" name="Picture 1" descr="A close up of a pap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600C" w14:textId="77777777" w:rsidR="000F7C80" w:rsidRDefault="000F7C80" w:rsidP="000F7C80">
      <w:pPr>
        <w:pStyle w:val="Bodyparagraph"/>
      </w:pPr>
    </w:p>
    <w:p w14:paraId="2116EF44" w14:textId="77777777" w:rsidR="000F7C80" w:rsidRDefault="000F7C80" w:rsidP="000F7C80">
      <w:pPr>
        <w:pStyle w:val="Bodyparagraph"/>
      </w:pPr>
    </w:p>
    <w:p w14:paraId="085E7FBB" w14:textId="77777777" w:rsidR="0082009B" w:rsidRDefault="0082009B" w:rsidP="000F7C80">
      <w:pPr>
        <w:pStyle w:val="Bodyparagraph"/>
      </w:pPr>
    </w:p>
    <w:p w14:paraId="1E57B708" w14:textId="77777777" w:rsidR="0082009B" w:rsidRDefault="0082009B" w:rsidP="000F7C80">
      <w:pPr>
        <w:pStyle w:val="Bodyparagraph"/>
      </w:pPr>
    </w:p>
    <w:p w14:paraId="2CDABF53" w14:textId="7E62B0A6" w:rsidR="00232D93" w:rsidRPr="00232D93" w:rsidRDefault="00232D93" w:rsidP="00232D93">
      <w:pPr>
        <w:pStyle w:val="Bodyparagraph"/>
      </w:pPr>
      <w:r>
        <w:lastRenderedPageBreak/>
        <w:t xml:space="preserve">To avoid confusion for readers, we decide to remove Equation 1 </w:t>
      </w:r>
      <w:r w:rsidR="00B44AAE">
        <w:t>and modify</w:t>
      </w:r>
      <w:r>
        <w:t xml:space="preserve"> the sentences related to its description. The affected lines are highlighted in red below.</w:t>
      </w:r>
    </w:p>
    <w:p w14:paraId="348FEAA5" w14:textId="4F8F5B57" w:rsidR="000F7C80" w:rsidRPr="000F7C80" w:rsidRDefault="00F931FC" w:rsidP="000F7C80">
      <w:pPr>
        <w:pStyle w:val="Bodyparagraph"/>
        <w:rPr>
          <w:color w:val="FF0000"/>
        </w:rPr>
      </w:pPr>
      <w:r>
        <w:t>“</w:t>
      </w:r>
      <w:r w:rsidR="000F7C80" w:rsidRPr="00092071">
        <w:t xml:space="preserve">One of </w:t>
      </w:r>
      <w:r w:rsidR="000F7C80">
        <w:t>the</w:t>
      </w:r>
      <w:r w:rsidR="000F7C80" w:rsidRPr="00092071">
        <w:t xml:space="preserve"> important steps was the assignment of each input vector to a specific SOM unit, </w:t>
      </w:r>
      <w:r w:rsidR="000F7C80" w:rsidRPr="00092071">
        <w:rPr>
          <w:i/>
          <w:iCs/>
        </w:rPr>
        <w:t xml:space="preserve">u, </w:t>
      </w:r>
      <w:r w:rsidR="000F7C80" w:rsidRPr="00092071">
        <w:t xml:space="preserve">shown </w:t>
      </w:r>
      <w:r w:rsidR="000F7C80">
        <w:t>on</w:t>
      </w:r>
      <w:r w:rsidR="000F7C80" w:rsidRPr="00092071">
        <w:t xml:space="preserve"> the right-hand side of Fig</w:t>
      </w:r>
      <w:r w:rsidR="000F7C80">
        <w:t>ure</w:t>
      </w:r>
      <w:r w:rsidR="000F7C80" w:rsidRPr="00092071">
        <w:t xml:space="preserve"> </w:t>
      </w:r>
      <w:r w:rsidR="000F7C80">
        <w:t>2</w:t>
      </w:r>
      <w:r w:rsidR="000F7C80" w:rsidRPr="00092071">
        <w:rPr>
          <w:i/>
          <w:iCs/>
        </w:rPr>
        <w:t xml:space="preserve">. </w:t>
      </w:r>
      <w:r w:rsidR="000F7C80" w:rsidRPr="000F7C80">
        <w:rPr>
          <w:color w:val="FF0000"/>
        </w:rPr>
        <w:t xml:space="preserve">Firstly, we estimated the local correlations in the data space, represented by a </w:t>
      </w:r>
      <m:oMath>
        <m:sSubSup>
          <m:sSubSupPr>
            <m:ctrlPr>
              <w:rPr>
                <w:rFonts w:ascii="Cambria Math" w:hAnsi="Cambria Math" w:cs="Cambria Math"/>
                <w:i/>
                <w:color w:val="FF0000"/>
                <w:kern w:val="0"/>
                <w:szCs w:val="20"/>
                <w:lang w:eastAsia="en-AU"/>
              </w:rPr>
            </m:ctrlPr>
          </m:sSubSupPr>
          <m:e>
            <m:r>
              <w:rPr>
                <w:rFonts w:ascii="Cambria Math" w:hAnsi="Cambria Math" w:cs="Cambria Math"/>
                <w:color w:val="FF0000"/>
                <w:szCs w:val="20"/>
              </w:rPr>
              <m:t>cor</m:t>
            </m:r>
          </m:e>
          <m:sub>
            <m:r>
              <w:rPr>
                <w:rFonts w:ascii="Cambria Math" w:hAnsi="Cambria Math" w:cs="Cambria Math"/>
                <w:color w:val="FF0000"/>
                <w:szCs w:val="20"/>
              </w:rPr>
              <m:t>i,j</m:t>
            </m:r>
          </m:sub>
          <m:sup>
            <m:r>
              <w:rPr>
                <w:rFonts w:ascii="Cambria Math" w:hAnsi="Cambria Math" w:cs="Cambria Math"/>
                <w:color w:val="FF0000"/>
                <w:szCs w:val="20"/>
              </w:rPr>
              <m:t>u</m:t>
            </m:r>
          </m:sup>
        </m:sSubSup>
      </m:oMath>
      <w:r w:rsidR="000F7C80" w:rsidRPr="000F7C80">
        <w:rPr>
          <w:color w:val="FF0000"/>
        </w:rPr>
        <w:t xml:space="preserve"> matrix. </w:t>
      </w:r>
    </w:p>
    <w:tbl>
      <w:tblPr>
        <w:tblStyle w:val="TableGrid"/>
        <w:tblpPr w:leftFromText="180" w:rightFromText="180" w:vertAnchor="text" w:horzAnchor="margin" w:tblpY="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  <w:gridCol w:w="673"/>
      </w:tblGrid>
      <w:tr w:rsidR="000F7C80" w:rsidRPr="000F7C80" w14:paraId="3F703439" w14:textId="77777777" w:rsidTr="00BC2C8C">
        <w:trPr>
          <w:trHeight w:val="567"/>
        </w:trPr>
        <w:tc>
          <w:tcPr>
            <w:tcW w:w="4627" w:type="pct"/>
            <w:vAlign w:val="center"/>
          </w:tcPr>
          <w:p w14:paraId="10297D95" w14:textId="77777777" w:rsidR="000F7C80" w:rsidRPr="000F7C80" w:rsidRDefault="00000000" w:rsidP="00BC2C8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Cambria Math"/>
                      <w:i/>
                      <w:color w:val="FF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  <w:color w:val="FF0000"/>
                      <w:sz w:val="20"/>
                      <w:szCs w:val="20"/>
                    </w:rPr>
                    <m:t>cor</m:t>
                  </m:r>
                </m:e>
                <m:sub>
                  <m:r>
                    <w:rPr>
                      <w:rFonts w:ascii="Cambria Math" w:hAnsi="Cambria Math" w:cs="Cambria Math"/>
                      <w:color w:val="FF0000"/>
                      <w:sz w:val="20"/>
                      <w:szCs w:val="20"/>
                    </w:rPr>
                    <m:t>i,j</m:t>
                  </m:r>
                </m:sub>
                <m:sup>
                  <m:r>
                    <w:rPr>
                      <w:rFonts w:ascii="Cambria Math" w:hAnsi="Cambria Math" w:cs="Cambria Math"/>
                      <w:color w:val="FF0000"/>
                      <w:sz w:val="20"/>
                      <w:szCs w:val="20"/>
                    </w:rPr>
                    <m:t>u</m:t>
                  </m:r>
                </m:sup>
              </m:sSubSup>
            </m:oMath>
            <w:r w:rsidR="000F7C80" w:rsidRPr="000F7C80">
              <w:rPr>
                <w:rFonts w:ascii="Times New Roman" w:hAnsi="Times New Roman"/>
                <w:color w:val="FF0000"/>
                <w:sz w:val="20"/>
                <w:szCs w:val="20"/>
              </w:rPr>
              <w:t>=1+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DAT_cor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oMath>
            <w:r w:rsidR="000F7C80" w:rsidRPr="000F7C80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</w:tc>
        <w:tc>
          <w:tcPr>
            <w:tcW w:w="373" w:type="pct"/>
            <w:vAlign w:val="center"/>
          </w:tcPr>
          <w:p w14:paraId="22C3751A" w14:textId="77777777" w:rsidR="000F7C80" w:rsidRPr="000F7C80" w:rsidRDefault="000F7C80" w:rsidP="00BC2C8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F7C80">
              <w:rPr>
                <w:rFonts w:ascii="Times New Roman" w:hAnsi="Times New Roman"/>
                <w:color w:val="FF0000"/>
                <w:sz w:val="20"/>
                <w:szCs w:val="20"/>
              </w:rPr>
              <w:t>(1)</w:t>
            </w:r>
          </w:p>
        </w:tc>
      </w:tr>
    </w:tbl>
    <w:p w14:paraId="4E903703" w14:textId="77777777" w:rsidR="000F7C80" w:rsidRPr="000F7C80" w:rsidRDefault="000F7C80" w:rsidP="000F7C80">
      <w:pPr>
        <w:pStyle w:val="Bodyparagraph"/>
        <w:ind w:firstLine="0"/>
        <w:rPr>
          <w:color w:val="FF0000"/>
        </w:rPr>
      </w:pPr>
      <w:r w:rsidRPr="000F7C80">
        <w:rPr>
          <w:color w:val="FF0000"/>
        </w:rPr>
        <w:t xml:space="preserve">Where </w:t>
      </w:r>
      <w:proofErr w:type="spellStart"/>
      <w:r w:rsidRPr="000F7C80">
        <w:rPr>
          <w:i/>
          <w:iCs/>
          <w:color w:val="FF0000"/>
        </w:rPr>
        <w:t>DAT_cor</w:t>
      </w:r>
      <w:proofErr w:type="spellEnd"/>
      <w:r w:rsidRPr="000F7C80">
        <w:rPr>
          <w:color w:val="FF0000"/>
        </w:rPr>
        <w:t xml:space="preserve"> is a correlation matrix among each normalized input vectors within a SOM unit; </w:t>
      </w:r>
      <m:oMath>
        <m:sSubSup>
          <m:sSubSupPr>
            <m:ctrlPr>
              <w:rPr>
                <w:rFonts w:ascii="Cambria Math" w:hAnsi="Cambria Math" w:cs="Cambria Math"/>
                <w:i/>
                <w:color w:val="FF0000"/>
                <w:kern w:val="0"/>
                <w:szCs w:val="20"/>
                <w:lang w:eastAsia="en-AU"/>
              </w:rPr>
            </m:ctrlPr>
          </m:sSubSupPr>
          <m:e>
            <m:r>
              <w:rPr>
                <w:rFonts w:ascii="Cambria Math" w:hAnsi="Cambria Math" w:cs="Cambria Math"/>
                <w:color w:val="FF0000"/>
                <w:szCs w:val="20"/>
              </w:rPr>
              <m:t>cor</m:t>
            </m:r>
          </m:e>
          <m:sub>
            <m:r>
              <w:rPr>
                <w:rFonts w:ascii="Cambria Math" w:hAnsi="Cambria Math" w:cs="Cambria Math"/>
                <w:color w:val="FF0000"/>
                <w:szCs w:val="20"/>
              </w:rPr>
              <m:t>i,j</m:t>
            </m:r>
          </m:sub>
          <m:sup>
            <m:r>
              <w:rPr>
                <w:rFonts w:ascii="Cambria Math" w:hAnsi="Cambria Math" w:cs="Cambria Math"/>
                <w:color w:val="FF0000"/>
                <w:szCs w:val="20"/>
              </w:rPr>
              <m:t>u</m:t>
            </m:r>
          </m:sup>
        </m:sSubSup>
      </m:oMath>
      <w:r w:rsidRPr="000F7C80">
        <w:rPr>
          <w:color w:val="FF0000"/>
          <w:kern w:val="0"/>
          <w:szCs w:val="20"/>
          <w:lang w:eastAsia="en-AU"/>
        </w:rPr>
        <w:t xml:space="preserve"> is the local correlation matrix between the missing and the mean of all the observed training data within the SOM unit </w:t>
      </w:r>
      <w:r w:rsidRPr="000F7C80">
        <w:rPr>
          <w:i/>
          <w:iCs/>
          <w:color w:val="FF0000"/>
        </w:rPr>
        <w:t xml:space="preserve">u. </w:t>
      </w:r>
    </w:p>
    <w:p w14:paraId="0D9B52CC" w14:textId="77777777" w:rsidR="000F7C80" w:rsidRPr="000F7C80" w:rsidRDefault="000F7C80" w:rsidP="000F7C80">
      <w:pPr>
        <w:pStyle w:val="Bodyparagraph"/>
        <w:rPr>
          <w:color w:val="FF0000"/>
        </w:rPr>
      </w:pPr>
      <w:r w:rsidRPr="000F7C80">
        <w:rPr>
          <w:color w:val="FF0000"/>
        </w:rPr>
        <w:t xml:space="preserve">Given with local correlations in the data space, we then calculated the minimum Euclidean distance between a normalized input vector </w:t>
      </w:r>
      <m:oMath>
        <m:r>
          <w:rPr>
            <w:rFonts w:ascii="Cambria Math" w:hAnsi="Cambria Math"/>
            <w:color w:val="FF0000"/>
            <w:szCs w:val="20"/>
          </w:rPr>
          <m:t>X</m:t>
        </m:r>
      </m:oMath>
      <w:r w:rsidRPr="000F7C80">
        <w:rPr>
          <w:color w:val="FF0000"/>
        </w:rPr>
        <w:t xml:space="preserve"> containing missing and non-missing components and the referent vector of the SOM unit, </w:t>
      </w:r>
      <m:oMath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ref</m:t>
            </m:r>
          </m:e>
          <m:sup>
            <m:r>
              <w:rPr>
                <w:rFonts w:ascii="Cambria Math" w:hAnsi="Cambria Math"/>
                <w:color w:val="FF0000"/>
              </w:rPr>
              <m:t>u</m:t>
            </m:r>
          </m:sup>
        </m:sSup>
      </m:oMath>
      <w:r w:rsidRPr="000F7C80">
        <w:rPr>
          <w:color w:val="FF0000"/>
        </w:rPr>
        <w:t xml:space="preserve">  using a similarity function </w:t>
      </w:r>
      <w:r w:rsidRPr="000F7C80">
        <w:rPr>
          <w:color w:val="FF0000"/>
        </w:rPr>
        <w:fldChar w:fldCharType="begin"/>
      </w:r>
      <w:r w:rsidRPr="000F7C80">
        <w:rPr>
          <w:color w:val="FF0000"/>
        </w:rPr>
        <w:instrText xml:space="preserve"> ADDIN EN.CITE &lt;EndNote&gt;&lt;Cite&gt;&lt;Author&gt;Chapman&lt;/Author&gt;&lt;Year&gt;2017&lt;/Year&gt;&lt;RecNum&gt;34&lt;/RecNum&gt;&lt;DisplayText&gt;(Chapman and Charantonis, 2017)&lt;/DisplayText&gt;&lt;record&gt;&lt;rec-number&gt;34&lt;/rec-number&gt;&lt;foreign-keys&gt;&lt;key app="EN" db-id="v9ptedz0nwpetuez2rlxraf4v5rt2r9frtsp" timestamp="1704341920"&gt;34&lt;/key&gt;&lt;/foreign-keys&gt;&lt;ref-type name="Journal Article"&gt;17&lt;/ref-type&gt;&lt;contributors&gt;&lt;authors&gt;&lt;author&gt;Chapman, Christopher&lt;/author&gt;&lt;author&gt;Charantonis, Anastase Alexandre&lt;/author&gt;&lt;/authors&gt;&lt;/contributors&gt;&lt;auth-address&gt;Univ Paris 06, LOCEAN IPSL, F-75005 Paris, France&amp;#xD;Univ Paris Saclay, CNRS, Telecom SudParis, SAMOVAR, F-91011 Evry, France&lt;/auth-address&gt;&lt;titles&gt;&lt;title&gt;Reconstruction of subsurface velocities from satellite observations using iterative self-organizing maps&lt;/title&gt;&lt;secondary-title&gt;IEEE Geoscience and Remote Sensing Letters&lt;/secondary-title&gt;&lt;alt-title&gt;Ieee Geosci Remote S&lt;/alt-title&gt;&lt;/titles&gt;&lt;periodical&gt;&lt;full-title&gt;IEEE Geoscience and Remote Sensing Letters&lt;/full-title&gt;&lt;/periodical&gt;&lt;pages&gt;617-620&lt;/pages&gt;&lt;volume&gt;14&lt;/volume&gt;&lt;number&gt;5&lt;/number&gt;&lt;keywords&gt;&lt;keyword&gt;oceans&lt;/keyword&gt;&lt;keyword&gt;remote sensing&lt;/keyword&gt;&lt;keyword&gt;self-organizing feature maps&lt;/keyword&gt;&lt;/keywords&gt;&lt;dates&gt;&lt;year&gt;2017&lt;/year&gt;&lt;pub-dates&gt;&lt;date&gt;May&lt;/date&gt;&lt;/pub-dates&gt;&lt;/dates&gt;&lt;isbn&gt;1545-598X&lt;/isbn&gt;&lt;accession-num&gt;WOS:000399953800007&lt;/accession-num&gt;&lt;urls&gt;&lt;related-urls&gt;&lt;url&gt;&lt;style face="underline" font="default" size="100%"&gt;&amp;lt;Go to ISI&amp;gt;://WOS:000399953800007&lt;/style&gt;&lt;/url&gt;&lt;/related-urls&gt;&lt;/urls&gt;&lt;electronic-resource-num&gt;https://doi.org/10.1109/Lgrs.2017.2665603&lt;/electronic-resource-num&gt;&lt;language&gt;English&lt;/language&gt;&lt;/record&gt;&lt;/Cite&gt;&lt;/EndNote&gt;</w:instrText>
      </w:r>
      <w:r w:rsidRPr="000F7C80">
        <w:rPr>
          <w:color w:val="FF0000"/>
        </w:rPr>
        <w:fldChar w:fldCharType="separate"/>
      </w:r>
      <w:r w:rsidRPr="000F7C80">
        <w:rPr>
          <w:noProof/>
          <w:color w:val="FF0000"/>
        </w:rPr>
        <w:t>(Chapman and Charantonis, 2017)</w:t>
      </w:r>
      <w:r w:rsidRPr="000F7C80">
        <w:rPr>
          <w:color w:val="FF0000"/>
        </w:rPr>
        <w:fldChar w:fldCharType="end"/>
      </w:r>
      <w:r w:rsidRPr="000F7C80">
        <w:rPr>
          <w:color w:val="FF0000"/>
        </w:rPr>
        <w:t>. The similarity function is defined as:</w:t>
      </w:r>
    </w:p>
    <w:tbl>
      <w:tblPr>
        <w:tblStyle w:val="TableGrid"/>
        <w:tblpPr w:leftFromText="180" w:rightFromText="180" w:vertAnchor="text" w:horzAnchor="margin" w:tblpY="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  <w:gridCol w:w="673"/>
      </w:tblGrid>
      <w:tr w:rsidR="000F7C80" w:rsidRPr="000F7C80" w14:paraId="39CB00A7" w14:textId="77777777" w:rsidTr="00BC2C8C">
        <w:trPr>
          <w:trHeight w:val="567"/>
        </w:trPr>
        <w:tc>
          <w:tcPr>
            <w:tcW w:w="4627" w:type="pct"/>
            <w:vAlign w:val="center"/>
          </w:tcPr>
          <w:p w14:paraId="1AC41462" w14:textId="77777777" w:rsidR="000F7C80" w:rsidRPr="000F7C80" w:rsidRDefault="000F7C80" w:rsidP="00BC2C8C">
            <w:pPr>
              <w:rPr>
                <w:color w:val="FF0000"/>
              </w:rPr>
            </w:pPr>
            <w:bookmarkStart w:id="0" w:name="_Hlk171319286"/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sim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X,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ref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u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i∈non-missing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1+</m:t>
                        </m:r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j∈missing</m:t>
                            </m:r>
                          </m:sub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cor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i,j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u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ref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u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,</m:t>
                </m:r>
              </m:oMath>
            </m:oMathPara>
          </w:p>
        </w:tc>
        <w:tc>
          <w:tcPr>
            <w:tcW w:w="373" w:type="pct"/>
            <w:vAlign w:val="center"/>
          </w:tcPr>
          <w:p w14:paraId="6F4EB6E2" w14:textId="77777777" w:rsidR="000F7C80" w:rsidRPr="000F7C80" w:rsidRDefault="000F7C80" w:rsidP="00BC2C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7C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(2)</w:t>
            </w:r>
          </w:p>
        </w:tc>
      </w:tr>
    </w:tbl>
    <w:bookmarkEnd w:id="0"/>
    <w:p w14:paraId="499A4017" w14:textId="71B5BFC5" w:rsidR="00C04938" w:rsidRDefault="000F7C80">
      <w:pPr>
        <w:rPr>
          <w:rFonts w:ascii="Times New Roman" w:hAnsi="Times New Roman" w:cs="Times New Roman"/>
          <w:i/>
          <w:iCs/>
          <w:color w:val="FF0000"/>
        </w:rPr>
      </w:pPr>
      <w:r w:rsidRPr="000F7C80">
        <w:rPr>
          <w:rFonts w:ascii="Times New Roman" w:hAnsi="Times New Roman" w:cs="Times New Roman"/>
          <w:color w:val="FF0000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kern w:val="0"/>
                <w:szCs w:val="20"/>
                <w:lang w:eastAsia="en-AU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Cs w:val="20"/>
              </w:rPr>
              <m:t>X</m:t>
            </m:r>
          </m:e>
          <m:sub>
            <m:r>
              <w:rPr>
                <w:rFonts w:ascii="Cambria Math" w:hAnsi="Cambria Math" w:cs="Times New Roman"/>
                <w:color w:val="FF0000"/>
                <w:szCs w:val="20"/>
              </w:rPr>
              <m:t>i</m:t>
            </m:r>
          </m:sub>
        </m:sSub>
      </m:oMath>
      <w:r w:rsidRPr="000F7C80">
        <w:rPr>
          <w:rFonts w:ascii="Times New Roman" w:hAnsi="Times New Roman" w:cs="Times New Roman"/>
          <w:color w:val="FF0000"/>
          <w:kern w:val="0"/>
          <w:szCs w:val="20"/>
          <w:lang w:eastAsia="en-AU"/>
        </w:rPr>
        <w:t xml:space="preserve"> is the non-missing data in </w:t>
      </w:r>
      <m:oMath>
        <m:r>
          <w:rPr>
            <w:rFonts w:ascii="Cambria Math" w:hAnsi="Cambria Math" w:cs="Times New Roman"/>
            <w:color w:val="FF0000"/>
            <w:szCs w:val="20"/>
          </w:rPr>
          <m:t>X</m:t>
        </m:r>
      </m:oMath>
      <w:r w:rsidRPr="000F7C80">
        <w:rPr>
          <w:rFonts w:ascii="Times New Roman" w:hAnsi="Times New Roman" w:cs="Times New Roman"/>
          <w:color w:val="FF000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color w:val="FF0000"/>
                <w:kern w:val="0"/>
                <w:szCs w:val="20"/>
                <w:lang w:eastAsia="en-AU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Cs w:val="20"/>
              </w:rPr>
              <m:t>ref</m:t>
            </m:r>
          </m:e>
          <m:sub>
            <m:r>
              <w:rPr>
                <w:rFonts w:ascii="Cambria Math" w:hAnsi="Cambria Math" w:cs="Times New Roman"/>
                <w:color w:val="FF0000"/>
                <w:szCs w:val="20"/>
              </w:rPr>
              <m:t>i</m:t>
            </m:r>
          </m:sub>
          <m:sup>
            <m:r>
              <w:rPr>
                <w:rFonts w:ascii="Cambria Math" w:hAnsi="Cambria Math" w:cs="Times New Roman"/>
                <w:color w:val="FF0000"/>
                <w:szCs w:val="20"/>
              </w:rPr>
              <m:t>u</m:t>
            </m:r>
          </m:sup>
        </m:sSubSup>
      </m:oMath>
      <w:r w:rsidRPr="000F7C80">
        <w:rPr>
          <w:rFonts w:ascii="Times New Roman" w:hAnsi="Times New Roman" w:cs="Times New Roman"/>
          <w:color w:val="FF0000"/>
          <w:kern w:val="0"/>
          <w:szCs w:val="20"/>
          <w:lang w:eastAsia="en-AU"/>
        </w:rPr>
        <w:t xml:space="preserve"> is the mean of all training data in the SOM unit </w:t>
      </w:r>
      <w:r w:rsidRPr="000F7C80">
        <w:rPr>
          <w:rFonts w:ascii="Times New Roman" w:hAnsi="Times New Roman" w:cs="Times New Roman"/>
          <w:i/>
          <w:iCs/>
          <w:color w:val="FF0000"/>
        </w:rPr>
        <w:t>u</w:t>
      </w:r>
      <w:r w:rsidR="00F931FC">
        <w:rPr>
          <w:rFonts w:ascii="Times New Roman" w:hAnsi="Times New Roman" w:cs="Times New Roman"/>
          <w:i/>
          <w:iCs/>
          <w:color w:val="FF0000"/>
        </w:rPr>
        <w:t>”</w:t>
      </w:r>
    </w:p>
    <w:p w14:paraId="2BFA89F3" w14:textId="77777777" w:rsidR="009D052A" w:rsidRDefault="009D052A">
      <w:pPr>
        <w:rPr>
          <w:rFonts w:ascii="Times New Roman" w:hAnsi="Times New Roman" w:cs="Times New Roman"/>
          <w:color w:val="FF0000"/>
        </w:rPr>
      </w:pPr>
    </w:p>
    <w:p w14:paraId="1EC4932C" w14:textId="552DEB9D" w:rsidR="008556B1" w:rsidRPr="00CD7B82" w:rsidRDefault="00232D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7B82">
        <w:rPr>
          <w:rFonts w:ascii="Times New Roman" w:hAnsi="Times New Roman" w:cs="Times New Roman"/>
          <w:sz w:val="24"/>
          <w:szCs w:val="24"/>
        </w:rPr>
        <w:t>T</w:t>
      </w:r>
      <w:r w:rsidR="00C23D9E" w:rsidRPr="00CD7B82">
        <w:rPr>
          <w:rFonts w:ascii="Times New Roman" w:hAnsi="Times New Roman" w:cs="Times New Roman"/>
          <w:sz w:val="24"/>
          <w:szCs w:val="24"/>
        </w:rPr>
        <w:t>he</w:t>
      </w:r>
      <w:r w:rsidR="005F1FAF">
        <w:rPr>
          <w:rFonts w:ascii="Times New Roman" w:hAnsi="Times New Roman" w:cs="Times New Roman"/>
          <w:sz w:val="24"/>
          <w:szCs w:val="24"/>
        </w:rPr>
        <w:t xml:space="preserve">  combined</w:t>
      </w:r>
      <w:proofErr w:type="gramEnd"/>
      <w:r w:rsidR="00C23D9E" w:rsidRPr="00CD7B82">
        <w:rPr>
          <w:rFonts w:ascii="Times New Roman" w:hAnsi="Times New Roman" w:cs="Times New Roman"/>
          <w:sz w:val="24"/>
          <w:szCs w:val="24"/>
        </w:rPr>
        <w:t xml:space="preserve"> </w:t>
      </w:r>
      <w:r w:rsidR="00B43D10" w:rsidRPr="00CD7B82">
        <w:rPr>
          <w:rFonts w:ascii="Times New Roman" w:hAnsi="Times New Roman" w:cs="Times New Roman"/>
          <w:sz w:val="24"/>
          <w:szCs w:val="24"/>
        </w:rPr>
        <w:t>paragraph</w:t>
      </w:r>
      <w:r w:rsidRPr="00CD7B82">
        <w:rPr>
          <w:rFonts w:ascii="Times New Roman" w:hAnsi="Times New Roman" w:cs="Times New Roman"/>
          <w:sz w:val="24"/>
          <w:szCs w:val="24"/>
        </w:rPr>
        <w:t xml:space="preserve"> </w:t>
      </w:r>
      <w:r w:rsidR="00B43D10" w:rsidRPr="00CD7B82">
        <w:rPr>
          <w:rFonts w:ascii="Times New Roman" w:hAnsi="Times New Roman" w:cs="Times New Roman"/>
          <w:sz w:val="24"/>
          <w:szCs w:val="24"/>
        </w:rPr>
        <w:t>is to be</w:t>
      </w:r>
      <w:r w:rsidRPr="00CD7B82">
        <w:rPr>
          <w:rFonts w:ascii="Times New Roman" w:hAnsi="Times New Roman" w:cs="Times New Roman"/>
          <w:sz w:val="24"/>
          <w:szCs w:val="24"/>
        </w:rPr>
        <w:t xml:space="preserve"> revised </w:t>
      </w:r>
      <w:r w:rsidR="00B43D10" w:rsidRPr="00CD7B82">
        <w:rPr>
          <w:rFonts w:ascii="Times New Roman" w:hAnsi="Times New Roman" w:cs="Times New Roman"/>
          <w:sz w:val="24"/>
          <w:szCs w:val="24"/>
        </w:rPr>
        <w:t>as</w:t>
      </w:r>
      <w:r w:rsidRPr="00CD7B82">
        <w:rPr>
          <w:rFonts w:ascii="Times New Roman" w:hAnsi="Times New Roman" w:cs="Times New Roman"/>
          <w:sz w:val="24"/>
          <w:szCs w:val="24"/>
        </w:rPr>
        <w:t xml:space="preserve"> </w:t>
      </w:r>
      <w:r w:rsidR="00B43D10" w:rsidRPr="00CD7B82">
        <w:rPr>
          <w:rFonts w:ascii="Times New Roman" w:hAnsi="Times New Roman" w:cs="Times New Roman"/>
          <w:sz w:val="24"/>
          <w:szCs w:val="24"/>
        </w:rPr>
        <w:t xml:space="preserve">(changed text </w:t>
      </w:r>
      <w:r w:rsidRPr="00CD7B82">
        <w:rPr>
          <w:rFonts w:ascii="Times New Roman" w:hAnsi="Times New Roman" w:cs="Times New Roman"/>
          <w:sz w:val="24"/>
          <w:szCs w:val="24"/>
        </w:rPr>
        <w:t>in blue</w:t>
      </w:r>
      <w:r w:rsidR="00B43D10" w:rsidRPr="00CD7B82">
        <w:rPr>
          <w:rFonts w:ascii="Times New Roman" w:hAnsi="Times New Roman" w:cs="Times New Roman"/>
          <w:sz w:val="24"/>
          <w:szCs w:val="24"/>
        </w:rPr>
        <w:t>):</w:t>
      </w:r>
    </w:p>
    <w:p w14:paraId="60D67B26" w14:textId="4A0D6835" w:rsidR="00D84B36" w:rsidRPr="00CD7B82" w:rsidRDefault="00791E6A" w:rsidP="00D84B36">
      <w:pPr>
        <w:pStyle w:val="Bodyparagraph"/>
        <w:rPr>
          <w:rFonts w:cs="Times New Roman"/>
          <w:color w:val="00B0F0"/>
          <w:sz w:val="24"/>
          <w:szCs w:val="24"/>
        </w:rPr>
      </w:pPr>
      <w:r w:rsidRPr="00CD7B82">
        <w:rPr>
          <w:sz w:val="24"/>
          <w:szCs w:val="24"/>
        </w:rPr>
        <w:t>“</w:t>
      </w:r>
      <w:r w:rsidR="00D84B36" w:rsidRPr="00CD7B82">
        <w:rPr>
          <w:rFonts w:cs="Times New Roman"/>
          <w:sz w:val="24"/>
          <w:szCs w:val="24"/>
        </w:rPr>
        <w:t xml:space="preserve">One of the important steps was the assignment of each input vector to a specific SOM unit, </w:t>
      </w:r>
      <w:r w:rsidR="00D84B36" w:rsidRPr="00CD7B82">
        <w:rPr>
          <w:rFonts w:cs="Times New Roman"/>
          <w:i/>
          <w:iCs/>
          <w:sz w:val="24"/>
          <w:szCs w:val="24"/>
        </w:rPr>
        <w:t xml:space="preserve">u, </w:t>
      </w:r>
      <w:r w:rsidR="00D84B36" w:rsidRPr="00CD7B82">
        <w:rPr>
          <w:rFonts w:cs="Times New Roman"/>
          <w:sz w:val="24"/>
          <w:szCs w:val="24"/>
        </w:rPr>
        <w:t>shown on the right-hand side of Figure 2</w:t>
      </w:r>
      <w:r w:rsidR="00DB77CE" w:rsidRPr="00CD7B82">
        <w:rPr>
          <w:rFonts w:cs="Times New Roman"/>
          <w:sz w:val="24"/>
          <w:szCs w:val="24"/>
        </w:rPr>
        <w:t xml:space="preserve">. </w:t>
      </w:r>
      <w:r w:rsidR="00DB77CE" w:rsidRPr="00CD7B82">
        <w:rPr>
          <w:rFonts w:cs="Times New Roman"/>
          <w:color w:val="00B0F0"/>
          <w:sz w:val="24"/>
          <w:szCs w:val="24"/>
        </w:rPr>
        <w:t xml:space="preserve">To do this, </w:t>
      </w:r>
      <w:r w:rsidR="00D84B36" w:rsidRPr="00CD7B82">
        <w:rPr>
          <w:rFonts w:cs="Times New Roman"/>
          <w:color w:val="00B0F0"/>
          <w:sz w:val="24"/>
          <w:szCs w:val="24"/>
        </w:rPr>
        <w:t xml:space="preserve">we calculated the minimum Euclidean distance between a normalized input vector </w:t>
      </w:r>
      <m:oMath>
        <m:r>
          <w:rPr>
            <w:rFonts w:ascii="Cambria Math" w:hAnsi="Cambria Math" w:cs="Times New Roman"/>
            <w:color w:val="00B0F0"/>
            <w:sz w:val="24"/>
            <w:szCs w:val="24"/>
          </w:rPr>
          <m:t>X</m:t>
        </m:r>
      </m:oMath>
      <w:r w:rsidR="00D84B36" w:rsidRPr="00CD7B82">
        <w:rPr>
          <w:rFonts w:cs="Times New Roman"/>
          <w:color w:val="00B0F0"/>
          <w:sz w:val="24"/>
          <w:szCs w:val="24"/>
        </w:rPr>
        <w:t xml:space="preserve"> containing missing and non-missing components and the referent vector of the SOM unit, </w:t>
      </w:r>
      <m:oMath>
        <m:sSup>
          <m:sSupPr>
            <m:ctrlPr>
              <w:rPr>
                <w:rFonts w:ascii="Cambria Math" w:hAnsi="Cambria Math" w:cs="Times New Roman"/>
                <w:color w:val="00B0F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ref</m:t>
            </m:r>
          </m:e>
          <m:sup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u</m:t>
            </m:r>
          </m:sup>
        </m:sSup>
      </m:oMath>
      <w:r w:rsidR="00D84B36" w:rsidRPr="00CD7B82">
        <w:rPr>
          <w:rFonts w:cs="Times New Roman"/>
          <w:color w:val="00B0F0"/>
          <w:sz w:val="24"/>
          <w:szCs w:val="24"/>
        </w:rPr>
        <w:t xml:space="preserve">  using a similarity function </w:t>
      </w:r>
      <w:r w:rsidR="00D84B36" w:rsidRPr="00CD7B82">
        <w:rPr>
          <w:rFonts w:cs="Times New Roman"/>
          <w:color w:val="00B0F0"/>
          <w:sz w:val="24"/>
          <w:szCs w:val="24"/>
        </w:rPr>
        <w:fldChar w:fldCharType="begin"/>
      </w:r>
      <w:r w:rsidR="00D84B36" w:rsidRPr="00CD7B82">
        <w:rPr>
          <w:rFonts w:cs="Times New Roman"/>
          <w:color w:val="00B0F0"/>
          <w:sz w:val="24"/>
          <w:szCs w:val="24"/>
        </w:rPr>
        <w:instrText xml:space="preserve"> ADDIN EN.CITE &lt;EndNote&gt;&lt;Cite&gt;&lt;Author&gt;Chapman&lt;/Author&gt;&lt;Year&gt;2017&lt;/Year&gt;&lt;RecNum&gt;34&lt;/RecNum&gt;&lt;DisplayText&gt;(Chapman and Charantonis, 2017)&lt;/DisplayText&gt;&lt;record&gt;&lt;rec-number&gt;34&lt;/rec-number&gt;&lt;foreign-keys&gt;&lt;key app="EN" db-id="v9ptedz0nwpetuez2rlxraf4v5rt2r9frtsp" timestamp="1704341920"&gt;34&lt;/key&gt;&lt;/foreign-keys&gt;&lt;ref-type name="Journal Article"&gt;17&lt;/ref-type&gt;&lt;contributors&gt;&lt;authors&gt;&lt;author&gt;Chapman, Christopher&lt;/author&gt;&lt;author&gt;Charantonis, Anastase Alexandre&lt;/author&gt;&lt;/authors&gt;&lt;/contributors&gt;&lt;auth-address&gt;Univ Paris 06, LOCEAN IPSL, F-75005 Paris, France&amp;#xD;Univ Paris Saclay, CNRS, Telecom SudParis, SAMOVAR, F-91011 Evry, France&lt;/auth-address&gt;&lt;titles&gt;&lt;title&gt;Reconstruction of subsurface velocities from satellite observations using iterative self-organizing maps&lt;/title&gt;&lt;secondary-title&gt;IEEE Geoscience and Remote Sensing Letters&lt;/secondary-title&gt;&lt;alt-title&gt;Ieee Geosci Remote S&lt;/alt-title&gt;&lt;/titles&gt;&lt;periodical&gt;&lt;full-title&gt;IEEE Geoscience and Remote Sensing Letters&lt;/full-title&gt;&lt;/periodical&gt;&lt;pages&gt;617-620&lt;/pages&gt;&lt;volume&gt;14&lt;/volume&gt;&lt;number&gt;5&lt;/number&gt;&lt;keywords&gt;&lt;keyword&gt;oceans&lt;/keyword&gt;&lt;keyword&gt;remote sensing&lt;/keyword&gt;&lt;keyword&gt;self-organizing feature maps&lt;/keyword&gt;&lt;/keywords&gt;&lt;dates&gt;&lt;year&gt;2017&lt;/year&gt;&lt;pub-dates&gt;&lt;date&gt;May&lt;/date&gt;&lt;/pub-dates&gt;&lt;/dates&gt;&lt;isbn&gt;1545-598X&lt;/isbn&gt;&lt;accession-num&gt;WOS:000399953800007&lt;/accession-num&gt;&lt;urls&gt;&lt;related-urls&gt;&lt;url&gt;&lt;style face="underline" font="default" size="100%"&gt;&amp;lt;Go to ISI&amp;gt;://WOS:000399953800007&lt;/style&gt;&lt;/url&gt;&lt;/related-urls&gt;&lt;/urls&gt;&lt;electronic-resource-num&gt;https://doi.org/10.1109/Lgrs.2017.2665603&lt;/electronic-resource-num&gt;&lt;language&gt;English&lt;/language&gt;&lt;/record&gt;&lt;/Cite&gt;&lt;/EndNote&gt;</w:instrText>
      </w:r>
      <w:r w:rsidR="00D84B36" w:rsidRPr="00CD7B82">
        <w:rPr>
          <w:rFonts w:cs="Times New Roman"/>
          <w:color w:val="00B0F0"/>
          <w:sz w:val="24"/>
          <w:szCs w:val="24"/>
        </w:rPr>
        <w:fldChar w:fldCharType="separate"/>
      </w:r>
      <w:r w:rsidR="00D84B36" w:rsidRPr="00CD7B82">
        <w:rPr>
          <w:rFonts w:cs="Times New Roman"/>
          <w:noProof/>
          <w:color w:val="00B0F0"/>
          <w:sz w:val="24"/>
          <w:szCs w:val="24"/>
        </w:rPr>
        <w:t>(Chapman and Charantonis, 2017)</w:t>
      </w:r>
      <w:r w:rsidR="00D84B36" w:rsidRPr="00CD7B82">
        <w:rPr>
          <w:rFonts w:cs="Times New Roman"/>
          <w:color w:val="00B0F0"/>
          <w:sz w:val="24"/>
          <w:szCs w:val="24"/>
        </w:rPr>
        <w:fldChar w:fldCharType="end"/>
      </w:r>
      <w:r w:rsidR="00D84B36" w:rsidRPr="00CD7B82">
        <w:rPr>
          <w:rFonts w:cs="Times New Roman"/>
          <w:color w:val="00B0F0"/>
          <w:sz w:val="24"/>
          <w:szCs w:val="24"/>
        </w:rPr>
        <w:t>. The similarity function is defined as:</w:t>
      </w:r>
    </w:p>
    <w:tbl>
      <w:tblPr>
        <w:tblStyle w:val="TableGrid"/>
        <w:tblpPr w:leftFromText="180" w:rightFromText="180" w:vertAnchor="text" w:horzAnchor="margin" w:tblpY="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  <w:gridCol w:w="673"/>
      </w:tblGrid>
      <w:tr w:rsidR="00DB77CE" w:rsidRPr="00CD7B82" w14:paraId="4DA7A4C1" w14:textId="77777777" w:rsidTr="00BC2C8C">
        <w:trPr>
          <w:trHeight w:val="567"/>
        </w:trPr>
        <w:tc>
          <w:tcPr>
            <w:tcW w:w="4627" w:type="pct"/>
            <w:vAlign w:val="center"/>
          </w:tcPr>
          <w:p w14:paraId="1F3F3F37" w14:textId="77777777" w:rsidR="00D84B36" w:rsidRPr="00CD7B82" w:rsidRDefault="00D84B36" w:rsidP="00BC2C8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B0F0"/>
                    <w:sz w:val="24"/>
                    <w:szCs w:val="24"/>
                  </w:rPr>
                  <m:t>sim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B0F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B0F0"/>
                        <w:sz w:val="24"/>
                        <w:szCs w:val="24"/>
                      </w:rPr>
                      <m:t>X,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B0F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ref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u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B0F0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color w:val="00B0F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B0F0"/>
                        <w:sz w:val="24"/>
                        <w:szCs w:val="24"/>
                      </w:rPr>
                      <m:t>i∈non-missing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B0F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1+</m:t>
                        </m:r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B0F0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j∈missing</m:t>
                            </m:r>
                          </m:sub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B0F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B0F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B0F0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B0F0"/>
                                            <w:sz w:val="24"/>
                                            <w:szCs w:val="24"/>
                                          </w:rPr>
                                          <m:t>cor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B0F0"/>
                                            <w:sz w:val="24"/>
                                            <w:szCs w:val="24"/>
                                          </w:rPr>
                                          <m:t>i,j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B0F0"/>
                                            <w:sz w:val="24"/>
                                            <w:szCs w:val="24"/>
                                          </w:rPr>
                                          <m:t>u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B0F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 w:cs="Times New Roman"/>
                    <w:color w:val="00B0F0"/>
                    <w:sz w:val="24"/>
                    <w:szCs w:val="24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B0F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B0F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B0F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B0F0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ref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color w:val="00B0F0"/>
                                <w:sz w:val="24"/>
                                <w:szCs w:val="24"/>
                              </w:rPr>
                              <m:t>u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B0F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color w:val="00B0F0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373" w:type="pct"/>
            <w:vAlign w:val="center"/>
          </w:tcPr>
          <w:p w14:paraId="5868F5B9" w14:textId="77BD24FA" w:rsidR="00D84B36" w:rsidRPr="00CD7B82" w:rsidRDefault="00D84B36" w:rsidP="00BC2C8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D7B8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</w:t>
            </w:r>
            <w:r w:rsidR="00DB77CE" w:rsidRPr="00CD7B8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Pr="00CD7B8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</w:tbl>
    <w:p w14:paraId="33686531" w14:textId="2AD033E4" w:rsidR="00D84B36" w:rsidRPr="00CD7B82" w:rsidRDefault="00D84B36" w:rsidP="00D84B36">
      <w:pPr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CD7B82">
        <w:rPr>
          <w:rFonts w:ascii="Times New Roman" w:hAnsi="Times New Roman" w:cs="Times New Roman"/>
          <w:color w:val="00B0F0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color w:val="00B0F0"/>
                <w:kern w:val="0"/>
                <w:sz w:val="24"/>
                <w:szCs w:val="24"/>
                <w:lang w:eastAsia="en-AU"/>
              </w:rPr>
            </m:ctrlPr>
          </m:sSubPr>
          <m:e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i</m:t>
            </m:r>
          </m:sub>
        </m:sSub>
      </m:oMath>
      <w:r w:rsidRPr="00CD7B82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 is the non-missing data in </w:t>
      </w:r>
      <m:oMath>
        <m:r>
          <w:rPr>
            <w:rFonts w:ascii="Cambria Math" w:hAnsi="Cambria Math" w:cs="Times New Roman"/>
            <w:color w:val="00B0F0"/>
            <w:sz w:val="24"/>
            <w:szCs w:val="24"/>
          </w:rPr>
          <m:t>X</m:t>
        </m:r>
      </m:oMath>
      <w:r w:rsidRPr="00CD7B82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B0F0"/>
                <w:kern w:val="0"/>
                <w:sz w:val="24"/>
                <w:szCs w:val="24"/>
                <w:lang w:eastAsia="en-AU"/>
              </w:rPr>
            </m:ctrlPr>
          </m:sSubSupPr>
          <m:e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ref</m:t>
            </m:r>
          </m:e>
          <m:sub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u</m:t>
            </m:r>
          </m:sup>
        </m:sSubSup>
      </m:oMath>
      <w:r w:rsidRPr="00CD7B82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 is the mean of all training data in the SOM unit </w:t>
      </w:r>
      <w:r w:rsidRPr="00CD7B8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u, </w:t>
      </w:r>
      <w:r w:rsidRPr="00CD7B82">
        <w:rPr>
          <w:rFonts w:ascii="Times New Roman" w:hAnsi="Times New Roman" w:cs="Times New Roman"/>
          <w:color w:val="00B0F0"/>
          <w:sz w:val="24"/>
          <w:szCs w:val="24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B0F0"/>
                <w:kern w:val="0"/>
                <w:sz w:val="24"/>
                <w:szCs w:val="24"/>
                <w:lang w:eastAsia="en-AU"/>
              </w:rPr>
            </m:ctrlPr>
          </m:sSubSupPr>
          <m:e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cor</m:t>
            </m:r>
          </m:e>
          <m:sub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i,j</m:t>
            </m:r>
          </m:sub>
          <m:sup>
            <m:r>
              <w:rPr>
                <w:rFonts w:ascii="Cambria Math" w:hAnsi="Cambria Math" w:cs="Times New Roman"/>
                <w:color w:val="00B0F0"/>
                <w:sz w:val="24"/>
                <w:szCs w:val="24"/>
              </w:rPr>
              <m:t>u</m:t>
            </m:r>
          </m:sup>
        </m:sSubSup>
      </m:oMath>
      <w:r w:rsidRPr="00CD7B82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 is the local correlation matrix between the missing </w:t>
      </w:r>
      <w:r w:rsidR="005B7365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variables </w:t>
      </w:r>
      <w:r w:rsidRPr="00CD7B82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and </w:t>
      </w:r>
      <w:r w:rsidR="003017AC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>available variables over</w:t>
      </w:r>
      <w:r w:rsidRPr="00CD7B82">
        <w:rPr>
          <w:rFonts w:ascii="Times New Roman" w:hAnsi="Times New Roman" w:cs="Times New Roman"/>
          <w:color w:val="00B0F0"/>
          <w:kern w:val="0"/>
          <w:sz w:val="24"/>
          <w:szCs w:val="24"/>
          <w:lang w:eastAsia="en-AU"/>
        </w:rPr>
        <w:t xml:space="preserve"> all the observed training data within the SOM unit </w:t>
      </w:r>
      <w:r w:rsidRPr="00CD7B82">
        <w:rPr>
          <w:rFonts w:ascii="Times New Roman" w:hAnsi="Times New Roman" w:cs="Times New Roman"/>
          <w:i/>
          <w:iCs/>
          <w:color w:val="00B0F0"/>
          <w:sz w:val="24"/>
          <w:szCs w:val="24"/>
        </w:rPr>
        <w:t>u.</w:t>
      </w:r>
      <w:r w:rsidR="00791E6A" w:rsidRPr="00CD7B82">
        <w:rPr>
          <w:i/>
          <w:iCs/>
          <w:color w:val="00B0F0"/>
          <w:sz w:val="24"/>
          <w:szCs w:val="24"/>
        </w:rPr>
        <w:t>”</w:t>
      </w:r>
    </w:p>
    <w:p w14:paraId="58EAE523" w14:textId="77777777" w:rsidR="00BA4164" w:rsidRPr="00CE3567" w:rsidRDefault="00BA4164">
      <w:pPr>
        <w:rPr>
          <w:rFonts w:ascii="Times New Roman" w:hAnsi="Times New Roman" w:cs="Times New Roman"/>
        </w:rPr>
      </w:pPr>
    </w:p>
    <w:sectPr w:rsidR="00BA4164" w:rsidRPr="00CE3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72"/>
    <w:rsid w:val="000F7C80"/>
    <w:rsid w:val="00211924"/>
    <w:rsid w:val="00232D93"/>
    <w:rsid w:val="003017AC"/>
    <w:rsid w:val="005B7365"/>
    <w:rsid w:val="005F1FAF"/>
    <w:rsid w:val="006750A3"/>
    <w:rsid w:val="00791E6A"/>
    <w:rsid w:val="0082009B"/>
    <w:rsid w:val="008556B1"/>
    <w:rsid w:val="009D052A"/>
    <w:rsid w:val="00B43D10"/>
    <w:rsid w:val="00B44AAE"/>
    <w:rsid w:val="00B62ABA"/>
    <w:rsid w:val="00BA4164"/>
    <w:rsid w:val="00C04938"/>
    <w:rsid w:val="00C21717"/>
    <w:rsid w:val="00C23D9E"/>
    <w:rsid w:val="00CD7B82"/>
    <w:rsid w:val="00CE3567"/>
    <w:rsid w:val="00D84B36"/>
    <w:rsid w:val="00DB77CE"/>
    <w:rsid w:val="00DD3FF0"/>
    <w:rsid w:val="00E83A1F"/>
    <w:rsid w:val="00EF50B1"/>
    <w:rsid w:val="00F62A61"/>
    <w:rsid w:val="00F931FC"/>
    <w:rsid w:val="00FC3972"/>
    <w:rsid w:val="3339AD10"/>
    <w:rsid w:val="7D2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3856"/>
  <w15:chartTrackingRefBased/>
  <w15:docId w15:val="{204C5B10-8D0B-4295-AF6A-551E6350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80"/>
    <w:pPr>
      <w:spacing w:line="259" w:lineRule="auto"/>
    </w:pPr>
    <w:rPr>
      <w:rFonts w:eastAsiaTheme="minorEastAsia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972"/>
    <w:rPr>
      <w:b/>
      <w:bCs/>
      <w:smallCaps/>
      <w:color w:val="0F4761" w:themeColor="accent1" w:themeShade="BF"/>
      <w:spacing w:val="5"/>
    </w:rPr>
  </w:style>
  <w:style w:type="paragraph" w:customStyle="1" w:styleId="Bodyparagraph">
    <w:name w:val="Body paragraph"/>
    <w:basedOn w:val="Normal"/>
    <w:link w:val="BodyparagraphChar"/>
    <w:qFormat/>
    <w:rsid w:val="000F7C80"/>
    <w:pPr>
      <w:spacing w:before="120" w:after="120" w:line="360" w:lineRule="auto"/>
      <w:ind w:firstLine="567"/>
      <w:jc w:val="both"/>
    </w:pPr>
    <w:rPr>
      <w:rFonts w:ascii="Times New Roman" w:hAnsi="Times New Roman"/>
      <w:sz w:val="20"/>
    </w:rPr>
  </w:style>
  <w:style w:type="character" w:customStyle="1" w:styleId="BodyparagraphChar">
    <w:name w:val="Body paragraph Char"/>
    <w:basedOn w:val="DefaultParagraphFont"/>
    <w:link w:val="Bodyparagraph"/>
    <w:rsid w:val="000F7C80"/>
    <w:rPr>
      <w:rFonts w:ascii="Times New Roman" w:eastAsiaTheme="minorEastAsia" w:hAnsi="Times New Roman"/>
      <w:sz w:val="20"/>
      <w:szCs w:val="22"/>
      <w:lang w:eastAsia="zh-CN"/>
    </w:rPr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rPr>
      <w:rFonts w:eastAsiaTheme="minorEastAsia"/>
      <w:kern w:val="0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257AA0C17724D9F89EBA448AB06BC" ma:contentTypeVersion="13" ma:contentTypeDescription="Create a new document." ma:contentTypeScope="" ma:versionID="b7f30e8124c59381d9ce41ff75f32c81">
  <xsd:schema xmlns:xsd="http://www.w3.org/2001/XMLSchema" xmlns:xs="http://www.w3.org/2001/XMLSchema" xmlns:p="http://schemas.microsoft.com/office/2006/metadata/properties" xmlns:ns2="024d0f71-e252-45d9-88b1-0f32ae5824ee" xmlns:ns3="f5db6203-54a9-471c-984b-a40571e610cc" targetNamespace="http://schemas.microsoft.com/office/2006/metadata/properties" ma:root="true" ma:fieldsID="58b869b389f8b979bc25f476d4966461" ns2:_="" ns3:_="">
    <xsd:import namespace="024d0f71-e252-45d9-88b1-0f32ae5824ee"/>
    <xsd:import namespace="f5db6203-54a9-471c-984b-a40571e61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0f71-e252-45d9-88b1-0f32ae582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b6203-54a9-471c-984b-a40571e61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428b90-f812-4b62-b45b-d0d12b02d230}" ma:internalName="TaxCatchAll" ma:showField="CatchAllData" ma:web="f5db6203-54a9-471c-984b-a40571e61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4d0f71-e252-45d9-88b1-0f32ae5824ee">
      <Terms xmlns="http://schemas.microsoft.com/office/infopath/2007/PartnerControls"/>
    </lcf76f155ced4ddcb4097134ff3c332f>
    <TaxCatchAll xmlns="f5db6203-54a9-471c-984b-a40571e610cc" xsi:nil="true"/>
  </documentManagement>
</p:properties>
</file>

<file path=customXml/itemProps1.xml><?xml version="1.0" encoding="utf-8"?>
<ds:datastoreItem xmlns:ds="http://schemas.openxmlformats.org/officeDocument/2006/customXml" ds:itemID="{A26CA1C0-55C3-4996-B1D7-EDDE2EC7A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DF054-B7B3-493F-86C0-CB386E357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d0f71-e252-45d9-88b1-0f32ae5824ee"/>
    <ds:schemaRef ds:uri="f5db6203-54a9-471c-984b-a40571e61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740C6-D7E8-470D-AD3B-A1ACD673F036}">
  <ds:schemaRefs>
    <ds:schemaRef ds:uri="http://schemas.microsoft.com/office/2006/metadata/properties"/>
    <ds:schemaRef ds:uri="http://schemas.microsoft.com/office/infopath/2007/PartnerControls"/>
    <ds:schemaRef ds:uri="024d0f71-e252-45d9-88b1-0f32ae5824ee"/>
    <ds:schemaRef ds:uri="f5db6203-54a9-471c-984b-a40571e61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856</Words>
  <Characters>4568</Characters>
  <Application>Microsoft Office Word</Application>
  <DocSecurity>0</DocSecurity>
  <Lines>240</Lines>
  <Paragraphs>169</Paragraphs>
  <ScaleCrop>false</ScaleCrop>
  <Company>CSIRO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Bui, Toan (Environment, IOMRC Crawley)</dc:creator>
  <cp:keywords/>
  <dc:description/>
  <cp:lastModifiedBy>Feng, Ming (Environment, IOMRC Crawley)</cp:lastModifiedBy>
  <cp:revision>27</cp:revision>
  <dcterms:created xsi:type="dcterms:W3CDTF">2025-04-10T07:11:00Z</dcterms:created>
  <dcterms:modified xsi:type="dcterms:W3CDTF">2025-04-10T08:44:00Z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0x010100EA9257AA0C17724D9F89EBA448AB06BC</vt:lpwstr>
  </property>
  <property fmtid="{D5CDD505-2E9C-101B-9397-08002B2CF9AE}" pid="3" name="MediaServiceImageTags">
    <vt:lpwstr/>
  </property>
</Properties>
</file>