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B2FD47E" w14:textId="57257A46" w:rsidR="006E4C52" w:rsidRPr="006E4C52" w:rsidRDefault="006E4C52" w:rsidP="00852A17">
      <w:pPr>
        <w:spacing w:before="100" w:beforeAutospacing="1" w:after="100" w:afterAutospacing="1"/>
        <w:rPr>
          <w:rFonts w:ascii="Times New Roman" w:hAnsi="Times New Roman"/>
        </w:rPr>
      </w:pPr>
      <w:r w:rsidRPr="006E4C52">
        <w:rPr>
          <w:rFonts w:ascii="Times New Roman" w:hAnsi="Times New Roman"/>
          <w:b/>
          <w:bCs/>
        </w:rPr>
        <w:t>ESSD-2024-437</w:t>
      </w:r>
    </w:p>
    <w:p w14:paraId="415E3BB6" w14:textId="598EA1AB" w:rsidR="00634929" w:rsidRDefault="00634929" w:rsidP="00852A17">
      <w:pPr>
        <w:spacing w:before="100" w:beforeAutospacing="1" w:after="100" w:afterAutospacing="1"/>
        <w:rPr>
          <w:rFonts w:ascii="Times New Roman" w:eastAsiaTheme="minorEastAsia" w:hAnsi="Times New Roman"/>
          <w:b/>
          <w:bCs/>
        </w:rPr>
      </w:pPr>
      <w:r w:rsidRPr="00634929">
        <w:rPr>
          <w:rFonts w:ascii="Times New Roman" w:eastAsiaTheme="minorEastAsia" w:hAnsi="Times New Roman"/>
          <w:b/>
          <w:bCs/>
        </w:rPr>
        <w:t>Global and National CO</w:t>
      </w:r>
      <w:r w:rsidRPr="00634929">
        <w:rPr>
          <w:rFonts w:ascii="Times New Roman" w:eastAsiaTheme="minorEastAsia" w:hAnsi="Times New Roman"/>
          <w:b/>
          <w:bCs/>
          <w:vertAlign w:val="subscript"/>
        </w:rPr>
        <w:t>2</w:t>
      </w:r>
      <w:r w:rsidR="008E5274">
        <w:rPr>
          <w:rFonts w:ascii="Times New Roman" w:eastAsiaTheme="minorEastAsia" w:hAnsi="Times New Roman" w:hint="eastAsia"/>
          <w:b/>
          <w:bCs/>
        </w:rPr>
        <w:t xml:space="preserve"> </w:t>
      </w:r>
      <w:r w:rsidRPr="00634929">
        <w:rPr>
          <w:rFonts w:ascii="Times New Roman" w:eastAsiaTheme="minorEastAsia" w:hAnsi="Times New Roman"/>
          <w:b/>
          <w:bCs/>
        </w:rPr>
        <w:t>Uptake by Cement Carbonation from 1928 to 2024</w:t>
      </w:r>
    </w:p>
    <w:p w14:paraId="6C8D7AEE" w14:textId="77777777" w:rsidR="008E5274" w:rsidRDefault="008E5274" w:rsidP="00852A17">
      <w:pPr>
        <w:spacing w:before="100" w:beforeAutospacing="1" w:after="100" w:afterAutospacing="1"/>
        <w:rPr>
          <w:rFonts w:ascii="Times New Roman" w:eastAsiaTheme="minorEastAsia" w:hAnsi="Times New Roman"/>
          <w:b/>
          <w:bCs/>
        </w:rPr>
      </w:pPr>
    </w:p>
    <w:p w14:paraId="551EC7AA" w14:textId="4FDD0173" w:rsidR="00840360" w:rsidRDefault="006E4C52" w:rsidP="00852A17">
      <w:pPr>
        <w:spacing w:before="100" w:beforeAutospacing="1" w:after="100" w:afterAutospacing="1"/>
        <w:rPr>
          <w:rFonts w:ascii="Times New Roman" w:hAnsi="Times New Roman"/>
          <w:b/>
          <w:bCs/>
        </w:rPr>
      </w:pPr>
      <w:r w:rsidRPr="006E4C52">
        <w:rPr>
          <w:rFonts w:ascii="Times New Roman" w:hAnsi="Times New Roman"/>
          <w:b/>
          <w:bCs/>
        </w:rPr>
        <w:t>General Comment</w:t>
      </w:r>
    </w:p>
    <w:p w14:paraId="64F7A8C2" w14:textId="2284A0EF" w:rsidR="006E4C52" w:rsidRDefault="006E4C52" w:rsidP="00852A17">
      <w:pPr>
        <w:spacing w:before="100" w:beforeAutospacing="1" w:after="100" w:afterAutospacing="1"/>
        <w:rPr>
          <w:rFonts w:ascii="Times New Roman" w:hAnsi="Times New Roman"/>
        </w:rPr>
      </w:pPr>
      <w:r w:rsidRPr="006E4C52">
        <w:rPr>
          <w:rFonts w:ascii="Times New Roman" w:hAnsi="Times New Roman"/>
        </w:rPr>
        <w:t>The manuscript,</w:t>
      </w:r>
      <w:r w:rsidR="008F078E">
        <w:rPr>
          <w:rFonts w:ascii="Times New Roman" w:hAnsi="Times New Roman" w:hint="eastAsia"/>
        </w:rPr>
        <w:t xml:space="preserve"> </w:t>
      </w:r>
      <w:r w:rsidRPr="006E4C52">
        <w:rPr>
          <w:rFonts w:ascii="Times New Roman" w:hAnsi="Times New Roman"/>
          <w:i/>
          <w:iCs/>
        </w:rPr>
        <w:t>ESSD-2024-437</w:t>
      </w:r>
      <w:r w:rsidRPr="006E4C52">
        <w:rPr>
          <w:rFonts w:ascii="Times New Roman" w:hAnsi="Times New Roman"/>
        </w:rPr>
        <w:t xml:space="preserve">, represents the fourth update of the Global Cement Carbon Uptake Database. Compared to previous versions, this update enhances the records to the country level, extends the temporal coverage, and reduces uncertainty by focusing on cement clinker production rather than apparent consumption. </w:t>
      </w:r>
      <w:bookmarkStart w:id="0" w:name="OLE_LINK1"/>
      <w:r w:rsidRPr="006E4C52">
        <w:rPr>
          <w:rFonts w:ascii="Times New Roman" w:hAnsi="Times New Roman"/>
        </w:rPr>
        <w:t>The manuscript is well-written, and I believe such an update is valuable to the community. Below, I have outlined several comments that may help improve this work.</w:t>
      </w:r>
    </w:p>
    <w:p w14:paraId="6217CE42" w14:textId="4ABA2129" w:rsidR="00634929" w:rsidRPr="00634929" w:rsidRDefault="00CB3A11" w:rsidP="00634929">
      <w:pPr>
        <w:spacing w:before="100" w:beforeAutospacing="1" w:after="100" w:afterAutospacing="1"/>
        <w:rPr>
          <w:rFonts w:ascii="Times New Roman" w:eastAsiaTheme="minorEastAsia" w:hAnsi="Times New Roman"/>
        </w:rPr>
      </w:pPr>
      <w:r w:rsidRPr="008E5274">
        <w:rPr>
          <w:rFonts w:ascii="Times New Roman" w:hAnsi="Times New Roman" w:hint="eastAsia"/>
          <w:b/>
          <w:bCs/>
          <w:i/>
          <w:iCs/>
          <w:color w:val="FF0000"/>
        </w:rPr>
        <w:t xml:space="preserve">Response: </w:t>
      </w:r>
      <w:r w:rsidR="00634929" w:rsidRPr="00634929">
        <w:rPr>
          <w:rFonts w:ascii="Times New Roman" w:hAnsi="Times New Roman"/>
        </w:rPr>
        <w:t xml:space="preserve">We are sincerely appreciated of the valuable comments and suggestions provided by the reviewer. </w:t>
      </w:r>
      <w:r w:rsidR="00634929" w:rsidRPr="00634929">
        <w:rPr>
          <w:rFonts w:ascii="Times New Roman" w:eastAsiaTheme="minorEastAsia" w:hAnsi="Times New Roman"/>
        </w:rPr>
        <w:t>Those comments are all valuable and very helpful for revising and improving our paper, as well as the important guiding significance to our researches.</w:t>
      </w:r>
      <w:r w:rsidR="00634929">
        <w:rPr>
          <w:rFonts w:ascii="Times New Roman" w:eastAsiaTheme="minorEastAsia" w:hAnsi="Times New Roman" w:hint="eastAsia"/>
        </w:rPr>
        <w:t xml:space="preserve"> </w:t>
      </w:r>
      <w:r w:rsidR="00634929" w:rsidRPr="00634929">
        <w:rPr>
          <w:rFonts w:ascii="Times New Roman" w:hAnsi="Times New Roman"/>
        </w:rPr>
        <w:t>We have carefully revised the paper according to the reviewer’ comments</w:t>
      </w:r>
      <w:r w:rsidR="00634929">
        <w:rPr>
          <w:rFonts w:ascii="Times New Roman" w:eastAsiaTheme="minorEastAsia" w:hAnsi="Times New Roman" w:hint="eastAsia"/>
        </w:rPr>
        <w:t xml:space="preserve"> and</w:t>
      </w:r>
      <w:r w:rsidR="00634929" w:rsidRPr="00634929">
        <w:rPr>
          <w:rFonts w:ascii="Times New Roman" w:hAnsi="Times New Roman"/>
        </w:rPr>
        <w:t xml:space="preserve"> provided comprehensive explanation of the revisions made to the manuscript and offered a point-by-point response.</w:t>
      </w:r>
    </w:p>
    <w:bookmarkEnd w:id="0"/>
    <w:p w14:paraId="1FB041D8" w14:textId="77777777" w:rsidR="008E5274" w:rsidRDefault="008E5274" w:rsidP="00852A17">
      <w:pPr>
        <w:spacing w:before="100" w:beforeAutospacing="1" w:after="100" w:afterAutospacing="1"/>
        <w:rPr>
          <w:rFonts w:ascii="Times New Roman" w:eastAsiaTheme="minorEastAsia" w:hAnsi="Times New Roman"/>
          <w:b/>
          <w:bCs/>
        </w:rPr>
      </w:pPr>
    </w:p>
    <w:p w14:paraId="0C120328" w14:textId="63326742" w:rsidR="006E4C52" w:rsidRPr="006E4C52" w:rsidRDefault="006E4C52" w:rsidP="00852A17">
      <w:pPr>
        <w:spacing w:before="100" w:beforeAutospacing="1" w:after="100" w:afterAutospacing="1"/>
        <w:rPr>
          <w:rFonts w:ascii="Times New Roman" w:hAnsi="Times New Roman"/>
        </w:rPr>
      </w:pPr>
      <w:r w:rsidRPr="006E4C52">
        <w:rPr>
          <w:rFonts w:ascii="Times New Roman" w:hAnsi="Times New Roman"/>
          <w:b/>
          <w:bCs/>
        </w:rPr>
        <w:t>Major Comments</w:t>
      </w:r>
    </w:p>
    <w:p w14:paraId="2A0FBF7E" w14:textId="77777777" w:rsidR="006E4C52" w:rsidRPr="006E4C52" w:rsidRDefault="006E4C52" w:rsidP="00852A17">
      <w:pPr>
        <w:numPr>
          <w:ilvl w:val="0"/>
          <w:numId w:val="1"/>
        </w:numPr>
        <w:spacing w:before="100" w:beforeAutospacing="1" w:after="100" w:afterAutospacing="1"/>
        <w:rPr>
          <w:rFonts w:ascii="Times New Roman" w:hAnsi="Times New Roman"/>
        </w:rPr>
      </w:pPr>
      <w:r w:rsidRPr="006E4C52">
        <w:rPr>
          <w:rFonts w:ascii="Times New Roman" w:hAnsi="Times New Roman"/>
          <w:b/>
          <w:bCs/>
        </w:rPr>
        <w:t>Forecasting for 2024</w:t>
      </w:r>
    </w:p>
    <w:p w14:paraId="67845740" w14:textId="1464917C" w:rsidR="006E4C52" w:rsidRDefault="006E4C52" w:rsidP="00852A17">
      <w:pPr>
        <w:spacing w:before="100" w:beforeAutospacing="1" w:after="100" w:afterAutospacing="1"/>
        <w:ind w:left="720"/>
        <w:rPr>
          <w:rFonts w:ascii="Times New Roman" w:hAnsi="Times New Roman"/>
        </w:rPr>
      </w:pPr>
      <w:bookmarkStart w:id="1" w:name="OLE_LINK2"/>
      <w:r w:rsidRPr="006E4C52">
        <w:rPr>
          <w:rFonts w:ascii="Times New Roman" w:hAnsi="Times New Roman"/>
        </w:rPr>
        <w:t>The ARIMA temporal forecasting model is commonly applied when data series exhibit high autocorrelation, such as seasonal cycles. However, the annual production and carbon uptake data in this study are strongly influenced by economic development and policy-making in one specific year, leading to high variability (as shown in Figure 4). How do the authors justify the use of ARIMA in this context?</w:t>
      </w:r>
      <w:bookmarkEnd w:id="1"/>
    </w:p>
    <w:p w14:paraId="13353736" w14:textId="5D09BE66" w:rsidR="00EB51D5" w:rsidRDefault="00FA71AC" w:rsidP="00CB5288">
      <w:pPr>
        <w:spacing w:before="100" w:beforeAutospacing="1" w:after="100" w:afterAutospacing="1"/>
        <w:ind w:left="720"/>
        <w:rPr>
          <w:rFonts w:ascii="Times New Roman" w:eastAsiaTheme="minorEastAsia" w:hAnsi="Times New Roman"/>
        </w:rPr>
      </w:pPr>
      <w:r w:rsidRPr="00C1215B">
        <w:rPr>
          <w:rFonts w:ascii="Times New Roman" w:hAnsi="Times New Roman" w:hint="eastAsia"/>
          <w:b/>
          <w:bCs/>
          <w:i/>
          <w:iCs/>
          <w:color w:val="FF0000"/>
        </w:rPr>
        <w:t>Response:</w:t>
      </w:r>
      <w:r w:rsidRPr="00FA71AC">
        <w:rPr>
          <w:rFonts w:ascii="Times New Roman" w:eastAsiaTheme="minorEastAsia" w:hAnsi="Times New Roman" w:hint="eastAsia"/>
        </w:rPr>
        <w:t xml:space="preserve"> Thank</w:t>
      </w:r>
      <w:r>
        <w:rPr>
          <w:rFonts w:ascii="Times New Roman" w:eastAsiaTheme="minorEastAsia" w:hAnsi="Times New Roman" w:hint="eastAsia"/>
        </w:rPr>
        <w:t xml:space="preserve"> you very much for your comment. </w:t>
      </w:r>
      <w:r w:rsidR="00AC5859">
        <w:rPr>
          <w:rFonts w:ascii="Times New Roman" w:eastAsiaTheme="minorEastAsia" w:hAnsi="Times New Roman" w:hint="eastAsia"/>
        </w:rPr>
        <w:t xml:space="preserve">The </w:t>
      </w:r>
      <w:r w:rsidR="00B00DC1" w:rsidRPr="002E2000">
        <w:rPr>
          <w:rFonts w:ascii="Times New Roman" w:eastAsiaTheme="minorEastAsia" w:hAnsi="Times New Roman"/>
        </w:rPr>
        <w:t>ARIMA model is one of the valuable projecting techniques in forecasting to the upcoming events in time series analysis</w:t>
      </w:r>
      <w:r w:rsidR="00B00DC1">
        <w:rPr>
          <w:rFonts w:ascii="Times New Roman" w:eastAsiaTheme="minorEastAsia" w:hAnsi="Times New Roman" w:hint="eastAsia"/>
        </w:rPr>
        <w:t xml:space="preserve">. </w:t>
      </w:r>
      <w:r w:rsidR="00B00DC1" w:rsidRPr="00B00DC1">
        <w:rPr>
          <w:rFonts w:ascii="Times New Roman" w:eastAsiaTheme="minorEastAsia" w:hAnsi="Times New Roman"/>
        </w:rPr>
        <w:t>The model is particularly effective for modeling temporal dependencies and forecasting when there is significant autocorrelation, even in the presence of high variability.</w:t>
      </w:r>
      <w:r w:rsidR="00B00DC1">
        <w:rPr>
          <w:rFonts w:ascii="Times New Roman" w:eastAsiaTheme="minorEastAsia" w:hAnsi="Times New Roman" w:hint="eastAsia"/>
        </w:rPr>
        <w:t xml:space="preserve"> </w:t>
      </w:r>
      <w:r w:rsidR="00B00DC1" w:rsidRPr="00B00DC1">
        <w:rPr>
          <w:rFonts w:ascii="Times New Roman" w:eastAsiaTheme="minorEastAsia" w:hAnsi="Times New Roman"/>
        </w:rPr>
        <w:t>Th</w:t>
      </w:r>
      <w:r w:rsidR="00B00DC1">
        <w:rPr>
          <w:rFonts w:ascii="Times New Roman" w:eastAsiaTheme="minorEastAsia" w:hAnsi="Times New Roman" w:hint="eastAsia"/>
        </w:rPr>
        <w:t>is</w:t>
      </w:r>
      <w:r w:rsidR="00B00DC1" w:rsidRPr="00B00DC1">
        <w:rPr>
          <w:rFonts w:ascii="Times New Roman" w:eastAsiaTheme="minorEastAsia" w:hAnsi="Times New Roman"/>
        </w:rPr>
        <w:t xml:space="preserve"> model has been widely used for forecasting production in various industries, including oil</w:t>
      </w:r>
      <w:r w:rsidR="00B00DC1">
        <w:rPr>
          <w:rFonts w:ascii="Times New Roman" w:eastAsiaTheme="minorEastAsia" w:hAnsi="Times New Roman" w:hint="eastAsia"/>
        </w:rPr>
        <w:t xml:space="preserve"> </w:t>
      </w:r>
      <w:r w:rsidR="00B00DC1">
        <w:rPr>
          <w:rFonts w:ascii="Times New Roman" w:eastAsiaTheme="minorEastAsia" w:hAnsi="Times New Roman"/>
        </w:rPr>
        <w:fldChar w:fldCharType="begin"/>
      </w:r>
      <w:r w:rsidR="00B00DC1">
        <w:rPr>
          <w:rFonts w:ascii="Times New Roman" w:eastAsiaTheme="minorEastAsia" w:hAnsi="Times New Roman"/>
        </w:rPr>
        <w:instrText xml:space="preserve"> ADDIN ZOTERO_ITEM CSL_CITATION {"citationID":"ZFAOnoSC","properties":{"formattedCitation":"(Ning et al., 2022)","plainCitation":"(Ning et al., 2022)","noteIndex":0},"citationItems":[{"id":3683,"uris":["http://zotero.org/users/10011104/items/JCF5UU6P"],"itemData":{"id":3683,"type":"article-journal","abstract":"It is challenging to predict the production performance of unconventional reservoirs because of the sediment heterogeneity, intricate flow channels, and complex fluid phase behavior. The traditional oil production prediction methods (e.g., decline curve analysis and reservoir simulation modeling forecasting) are subjective. This paper presents a machine learning-based time series forecasting method, which considers the existing data as time series and extracts the salient characteristics of historical data to predict values of a future time sequence. We used time series forecasting because of the historical fluctuations in production well and reservoir operations. Three algorithms were studied and compared to address the limitations of traditional production forecasting: Auto-Regressive Integrated Moving Averages (ARIMA), Long-Short-Term Memory (LSTM) network, and Prophet. This study starts with the representative oil production data from a well located in an unconventional reservoir in the Denver-Julesburg (DJ) Basin. 70% of the data was used for model training, whereas the remaining 30% of data was used to evaluate the performance of the above-mentioned methods. Then, the decline curve analysis and reservoir simulation modeling forecasting were applied for comparison. The advantages of the machine-learning models include a simple workflow, no prior assumption about the reservoir type, fast prediction, and reliable performance prediction for a typical fluctuating declining curve. More importantly, the ‘Prophet’ model captures production fluctuation caused by winter impact, which can attract the operator's attention and prevent potential failures. This has rarely been explored and discussed by previous studies. The application of ARIMA, LSTM, and Prophet methods to 65 wells in the DJ Basin show that ARIMA and LSTM perform better than Prophet—probably because not all oil production data include seasonal influences. Furthermore, the wells in the nearby pads can be studied using the same parameter values in ARIMA and LSTM for predicting oil prediction in a transferred learning framework. Specifically, we observed that ARIMA is robust in predicting the oil production rate of wells across the DJ Basin.","container-title":"Computers &amp; Geosciences","DOI":"10.1016/j.cageo.2022.105126","ISSN":"0098-3004","journalAbbreviation":"Computers &amp; Geosciences","page":"105126","source":"ScienceDirect","title":"A comparative machine learning study for time series oil production forecasting: ARIMA, LSTM, and prophet","title-short":"A comparative machine learning study for time series oil production forecasting","volume":"164","author":[{"family":"Ning","given":"Yanrui"},{"family":"Kazemi","given":"Hossein"},{"family":"Tahmasebi","given":"Pejman"}],"issued":{"date-parts":[["2022",7,1]]}}}],"schema":"https://github.com/citation-style-language/schema/raw/master/csl-citation.json"} </w:instrText>
      </w:r>
      <w:r w:rsidR="00B00DC1">
        <w:rPr>
          <w:rFonts w:ascii="Times New Roman" w:eastAsiaTheme="minorEastAsia" w:hAnsi="Times New Roman"/>
        </w:rPr>
        <w:fldChar w:fldCharType="separate"/>
      </w:r>
      <w:r w:rsidR="00B00DC1" w:rsidRPr="00B00DC1">
        <w:rPr>
          <w:rFonts w:ascii="Times New Roman" w:eastAsiaTheme="minorEastAsia" w:hAnsi="Times New Roman" w:cs="Times New Roman" w:hint="eastAsia"/>
        </w:rPr>
        <w:t>(Ning et al., 2022)</w:t>
      </w:r>
      <w:r w:rsidR="00B00DC1">
        <w:rPr>
          <w:rFonts w:ascii="Times New Roman" w:eastAsiaTheme="minorEastAsia" w:hAnsi="Times New Roman"/>
        </w:rPr>
        <w:fldChar w:fldCharType="end"/>
      </w:r>
      <w:r w:rsidR="00B00DC1" w:rsidRPr="00B00DC1">
        <w:rPr>
          <w:rFonts w:ascii="Times New Roman" w:eastAsiaTheme="minorEastAsia" w:hAnsi="Times New Roman"/>
        </w:rPr>
        <w:t>, gold</w:t>
      </w:r>
      <w:r w:rsidR="00B00DC1">
        <w:rPr>
          <w:rFonts w:ascii="Times New Roman" w:eastAsiaTheme="minorEastAsia" w:hAnsi="Times New Roman" w:hint="eastAsia"/>
        </w:rPr>
        <w:t xml:space="preserve"> </w:t>
      </w:r>
      <w:r w:rsidR="00B00DC1">
        <w:rPr>
          <w:rFonts w:ascii="Times New Roman" w:eastAsiaTheme="minorEastAsia" w:hAnsi="Times New Roman"/>
        </w:rPr>
        <w:fldChar w:fldCharType="begin"/>
      </w:r>
      <w:r w:rsidR="00B00DC1">
        <w:rPr>
          <w:rFonts w:ascii="Times New Roman" w:eastAsiaTheme="minorEastAsia" w:hAnsi="Times New Roman"/>
        </w:rPr>
        <w:instrText xml:space="preserve"> ADDIN ZOTERO_ITEM CSL_CITATION {"citationID":"cPgoCsjl","properties":{"formattedCitation":"(Mutele and Carranza, 2024)","plainCitation":"(Mutele and Carranza, 2024)","noteIndex":0},"citationItems":[{"id":3685,"uris":["http://zotero.org/users/10011104/items/AWS5K9PZ"],"itemData":{"id":3685,"type":"article-journal","abstract":"South African gold mining is one of the main contributors to the country's economic growth and employment creation. Assessment of future gold production is pivotal for positioning the country's supply security and contribution to the projected global demand. In this study, we modelled and forecasted South African and global gold production trends (1990–2022) using the Autoregressive Integrated Moving Average (ARIMA), Vector Autoregressive (VAR), and Autoregressive Neural Network (ARNN) techniques. The study also evaluated the impact of annual productions on the collated reserves (2008–2021) and the contribution of resource–reserve conversion in sustaining gold reserves within the South African goldfields. The ARIMA (1,1,0) model, based on root mean square error (RMSE), mean absolute error (MAE), and mean absolute percentage error (MAPE), outperformed both ARNN (1,1) and VAR (2) methods. The forecast of the ARIMA model showed an increase in South Africa's gold production, with a compounded annual growth rate (CAGR) of </w:instrText>
      </w:r>
      <w:r w:rsidR="00B00DC1">
        <w:rPr>
          <w:rFonts w:ascii="Cambria Math" w:eastAsiaTheme="minorEastAsia" w:hAnsi="Cambria Math" w:cs="Cambria Math"/>
        </w:rPr>
        <w:instrText>∼</w:instrText>
      </w:r>
      <w:r w:rsidR="00B00DC1">
        <w:rPr>
          <w:rFonts w:ascii="Times New Roman" w:eastAsiaTheme="minorEastAsia" w:hAnsi="Times New Roman"/>
        </w:rPr>
        <w:instrText xml:space="preserve">0.6%. The model also predicted an increase in global gold production, with CAGR of </w:instrText>
      </w:r>
      <w:r w:rsidR="00B00DC1">
        <w:rPr>
          <w:rFonts w:ascii="Cambria Math" w:eastAsiaTheme="minorEastAsia" w:hAnsi="Cambria Math" w:cs="Cambria Math"/>
        </w:rPr>
        <w:instrText>∼</w:instrText>
      </w:r>
      <w:r w:rsidR="00B00DC1">
        <w:rPr>
          <w:rFonts w:ascii="Times New Roman" w:eastAsiaTheme="minorEastAsia" w:hAnsi="Times New Roman"/>
        </w:rPr>
        <w:instrText xml:space="preserve">2.2%. The analyses of reserves–production trends showed that most South African mining companies have been depleting their gold reserves due to production and were minimally converting resources to reserves, averaging at </w:instrText>
      </w:r>
      <w:r w:rsidR="00B00DC1">
        <w:rPr>
          <w:rFonts w:ascii="Cambria Math" w:eastAsiaTheme="minorEastAsia" w:hAnsi="Cambria Math" w:cs="Cambria Math"/>
        </w:rPr>
        <w:instrText>∼</w:instrText>
      </w:r>
      <w:r w:rsidR="00B00DC1">
        <w:rPr>
          <w:rFonts w:ascii="Times New Roman" w:eastAsiaTheme="minorEastAsia" w:hAnsi="Times New Roman"/>
        </w:rPr>
        <w:instrText xml:space="preserve">2%/year from 2017 till present. The minimal conversion may also reflect the challenging mining conditions (such as mining depths and underground flooding) and the mining industry's socio-political dynamics. We demonstrated that, if the resource–reserve conversion factor is maintained (at </w:instrText>
      </w:r>
      <w:r w:rsidR="00B00DC1">
        <w:rPr>
          <w:rFonts w:ascii="Cambria Math" w:eastAsiaTheme="minorEastAsia" w:hAnsi="Cambria Math" w:cs="Cambria Math"/>
        </w:rPr>
        <w:instrText>∼</w:instrText>
      </w:r>
      <w:r w:rsidR="00B00DC1">
        <w:rPr>
          <w:rFonts w:ascii="Times New Roman" w:eastAsiaTheme="minorEastAsia" w:hAnsi="Times New Roman"/>
        </w:rPr>
        <w:instrText>2%/year and above), the forecasted production may sustain the current reserves (at</w:instrText>
      </w:r>
      <w:r w:rsidR="00B00DC1">
        <w:rPr>
          <w:rFonts w:ascii="Times New Roman" w:eastAsiaTheme="minorEastAsia" w:hAnsi="Times New Roman" w:hint="eastAsia"/>
        </w:rPr>
        <w:instrText> </w:instrText>
      </w:r>
      <w:r w:rsidR="00B00DC1">
        <w:rPr>
          <w:rFonts w:ascii="Times New Roman" w:eastAsiaTheme="minorEastAsia" w:hAnsi="Times New Roman"/>
        </w:rPr>
        <w:instrText xml:space="preserve">&gt; 2000 t Au excluding tailings) but deplete </w:instrText>
      </w:r>
      <w:r w:rsidR="00B00DC1">
        <w:rPr>
          <w:rFonts w:ascii="Cambria Math" w:eastAsiaTheme="minorEastAsia" w:hAnsi="Cambria Math" w:cs="Cambria Math"/>
        </w:rPr>
        <w:instrText>∼</w:instrText>
      </w:r>
      <w:r w:rsidR="00B00DC1">
        <w:rPr>
          <w:rFonts w:ascii="Times New Roman" w:eastAsiaTheme="minorEastAsia" w:hAnsi="Times New Roman"/>
        </w:rPr>
        <w:instrText xml:space="preserve">27 % of the resources to reserves by 2040. However, if the conversion factor continues to decline (to &lt;1 %), the forecasted gold production will reduce the reserves to &lt; 500 t Au with </w:instrText>
      </w:r>
      <w:r w:rsidR="00B00DC1">
        <w:rPr>
          <w:rFonts w:ascii="Cambria Math" w:eastAsiaTheme="minorEastAsia" w:hAnsi="Cambria Math" w:cs="Cambria Math"/>
        </w:rPr>
        <w:instrText>∼</w:instrText>
      </w:r>
      <w:r w:rsidR="00B00DC1">
        <w:rPr>
          <w:rFonts w:ascii="Times New Roman" w:eastAsiaTheme="minorEastAsia" w:hAnsi="Times New Roman"/>
        </w:rPr>
        <w:instrText xml:space="preserve">3% of the resources converted to reserves.","container-title":"Resources Policy","DOI":"10.1016/j.resourpol.2024.105076","ISSN":"0301-4207","journalAbbreviation":"Resources Policy","page":"105076","source":"ScienceDirect","title":"Statistical analysis of gold production in south africa using ARIMA, VAR and ARNN modelling techniques: Extrapolating future gold production, resources–reserves depletion, and implication on south africa's gold exploration","title-short":"Statistical analysis of gold production in South Africa using ARIMA, VAR and ARNN modelling techniques","volume":"93","author":[{"family":"Mutele","given":"Litshedzani"},{"family":"Carranza","given":"Emmanuel John M."}],"issued":{"date-parts":[["2024",6,1]]}}}],"schema":"https://github.com/citation-style-language/schema/raw/master/csl-citation.json"} </w:instrText>
      </w:r>
      <w:r w:rsidR="00B00DC1">
        <w:rPr>
          <w:rFonts w:ascii="Times New Roman" w:eastAsiaTheme="minorEastAsia" w:hAnsi="Times New Roman"/>
        </w:rPr>
        <w:fldChar w:fldCharType="separate"/>
      </w:r>
      <w:r w:rsidR="00B00DC1" w:rsidRPr="00B00DC1">
        <w:rPr>
          <w:rFonts w:ascii="Times New Roman" w:eastAsiaTheme="minorEastAsia" w:hAnsi="Times New Roman" w:cs="Times New Roman" w:hint="eastAsia"/>
        </w:rPr>
        <w:t>(Mutele and Carranza, 2024)</w:t>
      </w:r>
      <w:r w:rsidR="00B00DC1">
        <w:rPr>
          <w:rFonts w:ascii="Times New Roman" w:eastAsiaTheme="minorEastAsia" w:hAnsi="Times New Roman"/>
        </w:rPr>
        <w:fldChar w:fldCharType="end"/>
      </w:r>
      <w:r w:rsidR="00B00DC1" w:rsidRPr="00B00DC1">
        <w:rPr>
          <w:rFonts w:ascii="Times New Roman" w:eastAsiaTheme="minorEastAsia" w:hAnsi="Times New Roman"/>
        </w:rPr>
        <w:t>, and fossil fuels</w:t>
      </w:r>
      <w:r w:rsidR="00B00DC1">
        <w:rPr>
          <w:rFonts w:ascii="Times New Roman" w:eastAsiaTheme="minorEastAsia" w:hAnsi="Times New Roman" w:hint="eastAsia"/>
        </w:rPr>
        <w:t xml:space="preserve"> </w:t>
      </w:r>
      <w:r w:rsidR="00B00DC1">
        <w:rPr>
          <w:rFonts w:ascii="Times New Roman" w:eastAsiaTheme="minorEastAsia" w:hAnsi="Times New Roman"/>
        </w:rPr>
        <w:fldChar w:fldCharType="begin"/>
      </w:r>
      <w:r w:rsidR="00B00DC1">
        <w:rPr>
          <w:rFonts w:ascii="Times New Roman" w:eastAsiaTheme="minorEastAsia" w:hAnsi="Times New Roman"/>
        </w:rPr>
        <w:instrText xml:space="preserve"> ADDIN ZOTERO_ITEM CSL_CITATION {"citationID":"8N1EiiN7","properties":{"formattedCitation":"(Ediger et al., 2006)","plainCitation":"(Ediger et al., 2006)","noteIndex":0},"citationItems":[{"id":3679,"uris":["http://zotero.org/users/10011104/items/FA7TJYL9"],"itemData":{"id":3679,"type":"article-journal","abstract":"This study aims at forecasting the most possible curve for domestic fossil fuel production of Turkey to help policy makers to develop policy implications for rapidly growing dependency problem on imported fossil fuels. The fossil fuel dependency problem is international in scope and context and Turkey is a typical example for emerging energy markets of the developing world. We developed a decision support system for forecasting fossil fuel production by applying a regression, ARIMA and SARIMA method to the historical data from 1950 to 2003 in a comparative manner. The method integrates each model by using some decision parameters related to goodness-of-fit and confidence interval, behavior of the curve, and reserves. Different forecasting models are proposed for different fossil fuel types. The best result is obtained for oil since the reserve classifications used it is much better defined them for the others. Our findings show that the fossil fuel production peak has already been reached; indicating the total fossil fuel production of the country will diminish and theoretically will end in 2038. However, production is expected to end in 2019 for hard coal, in 2024 for natural gas, in 2029 for oil and 2031 for asphaltite. The gap between the fossil fuel consumption and production is growing enormously and it reaches in 2030 to approximately twice of what it is in 2000.","container-title":"Energy Policy","DOI":"10.1016/j.enpol.2005.08.023","ISSN":"0301-4215","issue":"18","journalAbbreviation":"Energy Policy","page":"3836-3846","source":"ScienceDirect","title":"Forecasting production of fossil fuel sources in turkey using a comparative regression and ARIMA model","volume":"34","author":[{"family":"Ediger","given":"Volkan Ş."},{"family":"Akar","given":"Sertaç"},{"family":"Uğurlu","given":"Berkin"}],"issued":{"date-parts":[["2006",12,1]]}}}],"schema":"https://github.com/citation-style-language/schema/raw/master/csl-citation.json"} </w:instrText>
      </w:r>
      <w:r w:rsidR="00B00DC1">
        <w:rPr>
          <w:rFonts w:ascii="Times New Roman" w:eastAsiaTheme="minorEastAsia" w:hAnsi="Times New Roman"/>
        </w:rPr>
        <w:fldChar w:fldCharType="separate"/>
      </w:r>
      <w:r w:rsidR="00B00DC1" w:rsidRPr="00B00DC1">
        <w:rPr>
          <w:rFonts w:ascii="Times New Roman" w:eastAsiaTheme="minorEastAsia" w:hAnsi="Times New Roman" w:cs="Times New Roman" w:hint="eastAsia"/>
        </w:rPr>
        <w:t>(Ediger et al., 2006)</w:t>
      </w:r>
      <w:r w:rsidR="00B00DC1">
        <w:rPr>
          <w:rFonts w:ascii="Times New Roman" w:eastAsiaTheme="minorEastAsia" w:hAnsi="Times New Roman"/>
        </w:rPr>
        <w:fldChar w:fldCharType="end"/>
      </w:r>
      <w:r w:rsidR="00B00DC1" w:rsidRPr="00B00DC1">
        <w:rPr>
          <w:rFonts w:ascii="Times New Roman" w:eastAsiaTheme="minorEastAsia" w:hAnsi="Times New Roman"/>
        </w:rPr>
        <w:t>, and its applicability has been validated through comparisons with other forecasting models</w:t>
      </w:r>
      <w:r w:rsidR="00B00DC1">
        <w:rPr>
          <w:rFonts w:ascii="Times New Roman" w:eastAsiaTheme="minorEastAsia" w:hAnsi="Times New Roman" w:hint="eastAsia"/>
        </w:rPr>
        <w:t xml:space="preserve">. </w:t>
      </w:r>
      <w:r w:rsidR="00B00DC1" w:rsidRPr="00B00DC1">
        <w:rPr>
          <w:rFonts w:ascii="Times New Roman" w:eastAsiaTheme="minorEastAsia" w:hAnsi="Times New Roman"/>
        </w:rPr>
        <w:t xml:space="preserve">In this study, as you </w:t>
      </w:r>
      <w:r w:rsidR="00B00DC1">
        <w:rPr>
          <w:rFonts w:ascii="Times New Roman" w:eastAsiaTheme="minorEastAsia" w:hAnsi="Times New Roman" w:hint="eastAsia"/>
        </w:rPr>
        <w:t>are</w:t>
      </w:r>
      <w:r w:rsidR="00B00DC1" w:rsidRPr="00B00DC1">
        <w:rPr>
          <w:rFonts w:ascii="Times New Roman" w:eastAsiaTheme="minorEastAsia" w:hAnsi="Times New Roman"/>
        </w:rPr>
        <w:t xml:space="preserve"> concerned, cement production </w:t>
      </w:r>
      <w:r w:rsidR="00CB5288">
        <w:rPr>
          <w:rFonts w:ascii="Times New Roman" w:eastAsiaTheme="minorEastAsia" w:hAnsi="Times New Roman" w:hint="eastAsia"/>
        </w:rPr>
        <w:t xml:space="preserve">is influenced by </w:t>
      </w:r>
      <w:r w:rsidR="00B00DC1" w:rsidRPr="00B00DC1">
        <w:rPr>
          <w:rFonts w:ascii="Times New Roman" w:eastAsiaTheme="minorEastAsia" w:hAnsi="Times New Roman"/>
        </w:rPr>
        <w:t>economic and policy, but we use</w:t>
      </w:r>
      <w:r w:rsidR="00AC5859">
        <w:rPr>
          <w:rFonts w:ascii="Times New Roman" w:eastAsiaTheme="minorEastAsia" w:hAnsi="Times New Roman" w:hint="eastAsia"/>
        </w:rPr>
        <w:t>d</w:t>
      </w:r>
      <w:r w:rsidR="00B00DC1" w:rsidRPr="00B00DC1">
        <w:rPr>
          <w:rFonts w:ascii="Times New Roman" w:eastAsiaTheme="minorEastAsia" w:hAnsi="Times New Roman"/>
        </w:rPr>
        <w:t xml:space="preserve"> a longer time series (1928-2023) to forecast </w:t>
      </w:r>
      <w:r w:rsidR="00AC5859" w:rsidRPr="00AC5859">
        <w:rPr>
          <w:rFonts w:ascii="Times New Roman" w:eastAsiaTheme="minorEastAsia" w:hAnsi="Times New Roman"/>
        </w:rPr>
        <w:t>production for</w:t>
      </w:r>
      <w:r w:rsidR="00AC5859" w:rsidRPr="00B00DC1">
        <w:rPr>
          <w:rFonts w:ascii="Times New Roman" w:eastAsiaTheme="minorEastAsia" w:hAnsi="Times New Roman"/>
        </w:rPr>
        <w:t xml:space="preserve"> </w:t>
      </w:r>
      <w:r w:rsidR="00B00DC1" w:rsidRPr="00B00DC1">
        <w:rPr>
          <w:rFonts w:ascii="Times New Roman" w:eastAsiaTheme="minorEastAsia" w:hAnsi="Times New Roman"/>
        </w:rPr>
        <w:t xml:space="preserve">2024, which </w:t>
      </w:r>
      <w:r w:rsidR="00AC5859" w:rsidRPr="00AC5859">
        <w:rPr>
          <w:rFonts w:ascii="Times New Roman" w:eastAsiaTheme="minorEastAsia" w:hAnsi="Times New Roman"/>
        </w:rPr>
        <w:t xml:space="preserve">extended dataset </w:t>
      </w:r>
      <w:r w:rsidR="00CB5288">
        <w:rPr>
          <w:rFonts w:ascii="Times New Roman" w:eastAsiaTheme="minorEastAsia" w:hAnsi="Times New Roman" w:hint="eastAsia"/>
        </w:rPr>
        <w:t>allow</w:t>
      </w:r>
      <w:r w:rsidR="00AC5859" w:rsidRPr="00AC5859">
        <w:rPr>
          <w:rFonts w:ascii="Times New Roman" w:eastAsiaTheme="minorEastAsia" w:hAnsi="Times New Roman"/>
        </w:rPr>
        <w:t>s the model to account for both short-term fluctuations and long-term trends, enhancing the robustness of the forecast.</w:t>
      </w:r>
      <w:r w:rsidR="00AC5859">
        <w:rPr>
          <w:rFonts w:ascii="Times New Roman" w:eastAsiaTheme="minorEastAsia" w:hAnsi="Times New Roman" w:hint="eastAsia"/>
        </w:rPr>
        <w:t xml:space="preserve"> </w:t>
      </w:r>
      <w:r w:rsidR="00CB5288">
        <w:rPr>
          <w:rFonts w:ascii="Times New Roman" w:eastAsiaTheme="minorEastAsia" w:hAnsi="Times New Roman" w:hint="eastAsia"/>
        </w:rPr>
        <w:t>Furthermore</w:t>
      </w:r>
      <w:r w:rsidR="00AC5859">
        <w:rPr>
          <w:rFonts w:ascii="Times New Roman" w:eastAsiaTheme="minorEastAsia" w:hAnsi="Times New Roman" w:hint="eastAsia"/>
        </w:rPr>
        <w:t xml:space="preserve">, </w:t>
      </w:r>
      <w:r w:rsidR="00AC5859" w:rsidRPr="00AC5859">
        <w:rPr>
          <w:rFonts w:ascii="Times New Roman" w:eastAsiaTheme="minorEastAsia" w:hAnsi="Times New Roman"/>
        </w:rPr>
        <w:t>the differencing process ARIMA model reduce</w:t>
      </w:r>
      <w:r w:rsidR="00CB5288">
        <w:rPr>
          <w:rFonts w:ascii="Times New Roman" w:eastAsiaTheme="minorEastAsia" w:hAnsi="Times New Roman" w:hint="eastAsia"/>
        </w:rPr>
        <w:t>s</w:t>
      </w:r>
      <w:r w:rsidR="00AC5859" w:rsidRPr="00AC5859">
        <w:rPr>
          <w:rFonts w:ascii="Times New Roman" w:eastAsiaTheme="minorEastAsia" w:hAnsi="Times New Roman"/>
        </w:rPr>
        <w:t xml:space="preserve"> the impact of external factors by removing long-term trends from </w:t>
      </w:r>
      <w:r w:rsidR="00AC5859" w:rsidRPr="00AC5859">
        <w:rPr>
          <w:rFonts w:ascii="Times New Roman" w:eastAsiaTheme="minorEastAsia" w:hAnsi="Times New Roman"/>
        </w:rPr>
        <w:lastRenderedPageBreak/>
        <w:t>the data.</w:t>
      </w:r>
      <w:r w:rsidR="007D6228">
        <w:rPr>
          <w:rFonts w:ascii="Times New Roman" w:eastAsiaTheme="minorEastAsia" w:hAnsi="Times New Roman" w:hint="eastAsia"/>
        </w:rPr>
        <w:t xml:space="preserve"> </w:t>
      </w:r>
      <w:r w:rsidR="000037BD" w:rsidRPr="000037BD">
        <w:rPr>
          <w:rFonts w:ascii="Times New Roman" w:eastAsiaTheme="minorEastAsia" w:hAnsi="Times New Roman"/>
        </w:rPr>
        <w:t>To further validate the model, we conducted forward-chained cross-validation by progressively rolling the training set forward, evaluating the model</w:t>
      </w:r>
      <w:r w:rsidR="000037BD">
        <w:rPr>
          <w:rFonts w:ascii="Times New Roman" w:eastAsiaTheme="minorEastAsia" w:hAnsi="Times New Roman"/>
        </w:rPr>
        <w:t>’</w:t>
      </w:r>
      <w:r w:rsidR="000037BD" w:rsidRPr="000037BD">
        <w:rPr>
          <w:rFonts w:ascii="Times New Roman" w:eastAsiaTheme="minorEastAsia" w:hAnsi="Times New Roman"/>
        </w:rPr>
        <w:t>s predictions at each step, and calculating the root mean square error (RMSE) for each forecast. We then compared the average of all the RMSE values with the standard deviation (SD) of the time series data. Generally, RMSE values exceedingly twice the SD suggest that the model</w:t>
      </w:r>
      <w:r w:rsidR="000037BD">
        <w:rPr>
          <w:rFonts w:ascii="Times New Roman" w:eastAsiaTheme="minorEastAsia" w:hAnsi="Times New Roman"/>
        </w:rPr>
        <w:t>’</w:t>
      </w:r>
      <w:r w:rsidR="000037BD" w:rsidRPr="000037BD">
        <w:rPr>
          <w:rFonts w:ascii="Times New Roman" w:eastAsiaTheme="minorEastAsia" w:hAnsi="Times New Roman"/>
        </w:rPr>
        <w:t>s predictions are less reliable.</w:t>
      </w:r>
      <w:r w:rsidR="005E6FA1">
        <w:rPr>
          <w:rFonts w:ascii="Times New Roman" w:eastAsiaTheme="minorEastAsia" w:hAnsi="Times New Roman" w:hint="eastAsia"/>
        </w:rPr>
        <w:t xml:space="preserve"> </w:t>
      </w:r>
      <w:r w:rsidR="005E6FA1" w:rsidRPr="005E6FA1">
        <w:rPr>
          <w:rFonts w:ascii="Times New Roman" w:eastAsiaTheme="minorEastAsia" w:hAnsi="Times New Roman"/>
        </w:rPr>
        <w:t>Our results show that the ratio of RMSE to SD</w:t>
      </w:r>
      <w:r w:rsidR="005E6FA1">
        <w:rPr>
          <w:rFonts w:ascii="Times New Roman" w:eastAsiaTheme="minorEastAsia" w:hAnsi="Times New Roman" w:hint="eastAsia"/>
        </w:rPr>
        <w:t xml:space="preserve"> for each country</w:t>
      </w:r>
      <w:r w:rsidR="005E6FA1" w:rsidRPr="005E6FA1">
        <w:rPr>
          <w:rFonts w:ascii="Times New Roman" w:eastAsiaTheme="minorEastAsia" w:hAnsi="Times New Roman"/>
        </w:rPr>
        <w:t xml:space="preserve"> ranges from 0.022 to 0.516</w:t>
      </w:r>
      <w:r w:rsidR="005E6FA1">
        <w:rPr>
          <w:rFonts w:ascii="Times New Roman" w:eastAsiaTheme="minorEastAsia" w:hAnsi="Times New Roman" w:hint="eastAsia"/>
        </w:rPr>
        <w:t xml:space="preserve">, </w:t>
      </w:r>
      <w:r w:rsidR="005E6FA1" w:rsidRPr="005E6FA1">
        <w:rPr>
          <w:rFonts w:ascii="Times New Roman" w:eastAsiaTheme="minorEastAsia" w:hAnsi="Times New Roman"/>
        </w:rPr>
        <w:t>indicating that the models exhibit relatively small errors.</w:t>
      </w:r>
      <w:r w:rsidR="001D0910">
        <w:rPr>
          <w:rFonts w:ascii="Times New Roman" w:eastAsiaTheme="minorEastAsia" w:hAnsi="Times New Roman" w:hint="eastAsia"/>
        </w:rPr>
        <w:t xml:space="preserve"> </w:t>
      </w:r>
      <w:r w:rsidR="001D0910" w:rsidRPr="001D0910">
        <w:rPr>
          <w:rFonts w:ascii="Times New Roman" w:eastAsiaTheme="minorEastAsia" w:hAnsi="Times New Roman"/>
        </w:rPr>
        <w:t xml:space="preserve">The following </w:t>
      </w:r>
      <w:r w:rsidR="001D0910">
        <w:rPr>
          <w:rFonts w:ascii="Times New Roman" w:eastAsiaTheme="minorEastAsia" w:hAnsi="Times New Roman" w:hint="eastAsia"/>
        </w:rPr>
        <w:t>T</w:t>
      </w:r>
      <w:r w:rsidR="001D0910" w:rsidRPr="001D0910">
        <w:rPr>
          <w:rFonts w:ascii="Times New Roman" w:eastAsiaTheme="minorEastAsia" w:hAnsi="Times New Roman"/>
        </w:rPr>
        <w:t>able</w:t>
      </w:r>
      <w:r w:rsidR="001D0910">
        <w:rPr>
          <w:rFonts w:ascii="Times New Roman" w:eastAsiaTheme="minorEastAsia" w:hAnsi="Times New Roman" w:hint="eastAsia"/>
        </w:rPr>
        <w:t xml:space="preserve"> 1</w:t>
      </w:r>
      <w:r w:rsidR="001D0910" w:rsidRPr="001D0910">
        <w:rPr>
          <w:rFonts w:ascii="Times New Roman" w:eastAsiaTheme="minorEastAsia" w:hAnsi="Times New Roman"/>
        </w:rPr>
        <w:t xml:space="preserve"> illustrates the validation of the model for 42 countries, with information on the remaining countries provided in</w:t>
      </w:r>
      <w:r w:rsidR="001D0910">
        <w:rPr>
          <w:rFonts w:ascii="Times New Roman" w:eastAsiaTheme="minorEastAsia" w:hAnsi="Times New Roman" w:hint="eastAsia"/>
        </w:rPr>
        <w:t xml:space="preserve"> SI data 1 in Supplementary table1</w:t>
      </w:r>
      <w:r w:rsidR="001D0910" w:rsidRPr="001D0910">
        <w:rPr>
          <w:rFonts w:ascii="Times New Roman" w:eastAsiaTheme="minorEastAsia" w:hAnsi="Times New Roman"/>
        </w:rPr>
        <w:t>.</w:t>
      </w:r>
    </w:p>
    <w:p w14:paraId="64F98917" w14:textId="58647887" w:rsidR="00AC5859" w:rsidRDefault="00AC5859" w:rsidP="00EB51D5">
      <w:pPr>
        <w:widowControl/>
        <w:jc w:val="left"/>
        <w:rPr>
          <w:rFonts w:ascii="Times New Roman" w:eastAsiaTheme="minorEastAsia" w:hAnsi="Times New Roman"/>
        </w:rPr>
      </w:pPr>
    </w:p>
    <w:p w14:paraId="0BF3219D" w14:textId="1F0589B6" w:rsidR="00EB51D5" w:rsidRPr="00EB51D5" w:rsidRDefault="00EB51D5" w:rsidP="00EB51D5">
      <w:pPr>
        <w:rPr>
          <w:rFonts w:ascii="Times New Roman" w:eastAsiaTheme="minorEastAsia" w:hAnsi="Times New Roman"/>
        </w:rPr>
      </w:pPr>
      <w:r w:rsidRPr="00EB51D5">
        <w:rPr>
          <w:rFonts w:ascii="Times New Roman" w:eastAsiaTheme="minorEastAsia" w:hAnsi="Times New Roman" w:hint="eastAsia"/>
        </w:rPr>
        <w:t>Table</w:t>
      </w:r>
      <w:r w:rsidR="001D0910">
        <w:rPr>
          <w:rFonts w:ascii="Times New Roman" w:eastAsiaTheme="minorEastAsia" w:hAnsi="Times New Roman" w:hint="eastAsia"/>
        </w:rPr>
        <w:t xml:space="preserve"> </w:t>
      </w:r>
      <w:r w:rsidRPr="00EB51D5">
        <w:rPr>
          <w:rFonts w:ascii="Times New Roman" w:eastAsiaTheme="minorEastAsia" w:hAnsi="Times New Roman" w:hint="eastAsia"/>
        </w:rPr>
        <w:t xml:space="preserve">1: </w:t>
      </w:r>
      <w:r w:rsidRPr="00EB51D5">
        <w:rPr>
          <w:rFonts w:ascii="Times New Roman" w:eastAsiaTheme="minorEastAsia" w:hAnsi="Times New Roman"/>
        </w:rPr>
        <w:t xml:space="preserve">Summary of ARIMA models and their cross-validation results for 2024 </w:t>
      </w:r>
      <w:r>
        <w:rPr>
          <w:rFonts w:ascii="Times New Roman" w:eastAsiaTheme="minorEastAsia" w:hAnsi="Times New Roman" w:hint="eastAsia"/>
        </w:rPr>
        <w:t xml:space="preserve">cement </w:t>
      </w:r>
      <w:r w:rsidRPr="00EB51D5">
        <w:rPr>
          <w:rFonts w:ascii="Times New Roman" w:eastAsiaTheme="minorEastAsia" w:hAnsi="Times New Roman"/>
        </w:rPr>
        <w:t>production forecasts for 42 countries</w:t>
      </w:r>
    </w:p>
    <w:tbl>
      <w:tblPr>
        <w:tblW w:w="5000" w:type="pct"/>
        <w:tblLook w:val="04A0" w:firstRow="1" w:lastRow="0" w:firstColumn="1" w:lastColumn="0" w:noHBand="0" w:noVBand="1"/>
      </w:tblPr>
      <w:tblGrid>
        <w:gridCol w:w="987"/>
        <w:gridCol w:w="987"/>
        <w:gridCol w:w="1528"/>
        <w:gridCol w:w="1491"/>
        <w:gridCol w:w="1133"/>
        <w:gridCol w:w="1133"/>
        <w:gridCol w:w="1047"/>
      </w:tblGrid>
      <w:tr w:rsidR="00EB51D5" w:rsidRPr="00EB51D5" w14:paraId="30926C84" w14:textId="77777777" w:rsidTr="00EB51D5">
        <w:trPr>
          <w:trHeight w:val="288"/>
        </w:trPr>
        <w:tc>
          <w:tcPr>
            <w:tcW w:w="603" w:type="pct"/>
            <w:tcBorders>
              <w:top w:val="single" w:sz="12" w:space="0" w:color="auto"/>
              <w:bottom w:val="single" w:sz="6" w:space="0" w:color="auto"/>
            </w:tcBorders>
            <w:shd w:val="clear" w:color="auto" w:fill="auto"/>
            <w:noWrap/>
            <w:vAlign w:val="center"/>
            <w:hideMark/>
          </w:tcPr>
          <w:p w14:paraId="7DD085CA" w14:textId="77777777" w:rsidR="00EB51D5" w:rsidRPr="00EB51D5" w:rsidRDefault="00EB51D5" w:rsidP="00EB51D5">
            <w:pPr>
              <w:widowControl/>
              <w:jc w:val="center"/>
              <w:rPr>
                <w:rFonts w:ascii="Times New Roman" w:eastAsia="宋体" w:hAnsi="Times New Roman" w:cs="Times New Roman"/>
                <w:b/>
                <w:bCs/>
                <w:color w:val="000000"/>
                <w:kern w:val="0"/>
                <w:sz w:val="18"/>
                <w:szCs w:val="18"/>
                <w14:ligatures w14:val="none"/>
              </w:rPr>
            </w:pPr>
            <w:r w:rsidRPr="00EB51D5">
              <w:rPr>
                <w:rFonts w:ascii="Times New Roman" w:eastAsia="宋体" w:hAnsi="Times New Roman" w:cs="Times New Roman"/>
                <w:b/>
                <w:bCs/>
                <w:color w:val="000000"/>
                <w:kern w:val="0"/>
                <w:sz w:val="18"/>
                <w:szCs w:val="18"/>
                <w14:ligatures w14:val="none"/>
              </w:rPr>
              <w:t>Code</w:t>
            </w:r>
          </w:p>
        </w:tc>
        <w:tc>
          <w:tcPr>
            <w:tcW w:w="603" w:type="pct"/>
            <w:tcBorders>
              <w:top w:val="single" w:sz="12" w:space="0" w:color="auto"/>
              <w:bottom w:val="single" w:sz="6" w:space="0" w:color="auto"/>
            </w:tcBorders>
            <w:shd w:val="clear" w:color="auto" w:fill="auto"/>
            <w:noWrap/>
            <w:vAlign w:val="center"/>
            <w:hideMark/>
          </w:tcPr>
          <w:p w14:paraId="43A99B4E" w14:textId="77777777" w:rsidR="00EB51D5" w:rsidRPr="00EB51D5" w:rsidRDefault="00EB51D5" w:rsidP="00EB51D5">
            <w:pPr>
              <w:widowControl/>
              <w:jc w:val="center"/>
              <w:rPr>
                <w:rFonts w:ascii="Times New Roman" w:eastAsia="宋体" w:hAnsi="Times New Roman" w:cs="Times New Roman"/>
                <w:b/>
                <w:bCs/>
                <w:color w:val="000000"/>
                <w:kern w:val="0"/>
                <w:sz w:val="18"/>
                <w:szCs w:val="18"/>
                <w14:ligatures w14:val="none"/>
              </w:rPr>
            </w:pPr>
            <w:r w:rsidRPr="00EB51D5">
              <w:rPr>
                <w:rFonts w:ascii="Times New Roman" w:eastAsia="宋体" w:hAnsi="Times New Roman" w:cs="Times New Roman"/>
                <w:b/>
                <w:bCs/>
                <w:color w:val="000000"/>
                <w:kern w:val="0"/>
                <w:sz w:val="18"/>
                <w:szCs w:val="18"/>
                <w14:ligatures w14:val="none"/>
              </w:rPr>
              <w:t>ISO</w:t>
            </w:r>
          </w:p>
        </w:tc>
        <w:tc>
          <w:tcPr>
            <w:tcW w:w="928" w:type="pct"/>
            <w:tcBorders>
              <w:top w:val="single" w:sz="12" w:space="0" w:color="auto"/>
              <w:bottom w:val="single" w:sz="6" w:space="0" w:color="auto"/>
            </w:tcBorders>
            <w:shd w:val="clear" w:color="auto" w:fill="auto"/>
            <w:noWrap/>
            <w:vAlign w:val="center"/>
            <w:hideMark/>
          </w:tcPr>
          <w:p w14:paraId="5CB7E22A" w14:textId="77777777" w:rsidR="00EB51D5" w:rsidRPr="00EB51D5" w:rsidRDefault="00EB51D5" w:rsidP="00EB51D5">
            <w:pPr>
              <w:widowControl/>
              <w:jc w:val="center"/>
              <w:rPr>
                <w:rFonts w:ascii="Times New Roman" w:eastAsia="宋体" w:hAnsi="Times New Roman" w:cs="Times New Roman"/>
                <w:b/>
                <w:bCs/>
                <w:color w:val="000000"/>
                <w:kern w:val="0"/>
                <w:sz w:val="18"/>
                <w:szCs w:val="18"/>
                <w14:ligatures w14:val="none"/>
              </w:rPr>
            </w:pPr>
            <w:r w:rsidRPr="00EB51D5">
              <w:rPr>
                <w:rFonts w:ascii="Times New Roman" w:eastAsia="宋体" w:hAnsi="Times New Roman" w:cs="Times New Roman"/>
                <w:b/>
                <w:bCs/>
                <w:color w:val="000000"/>
                <w:kern w:val="0"/>
                <w:sz w:val="18"/>
                <w:szCs w:val="18"/>
                <w14:ligatures w14:val="none"/>
              </w:rPr>
              <w:t>Countries</w:t>
            </w:r>
          </w:p>
        </w:tc>
        <w:tc>
          <w:tcPr>
            <w:tcW w:w="842" w:type="pct"/>
            <w:tcBorders>
              <w:top w:val="single" w:sz="12" w:space="0" w:color="auto"/>
              <w:bottom w:val="single" w:sz="6" w:space="0" w:color="auto"/>
            </w:tcBorders>
            <w:shd w:val="clear" w:color="auto" w:fill="auto"/>
            <w:noWrap/>
            <w:vAlign w:val="center"/>
            <w:hideMark/>
          </w:tcPr>
          <w:p w14:paraId="156C5581" w14:textId="77777777" w:rsidR="00EB51D5" w:rsidRPr="00EB51D5" w:rsidRDefault="00EB51D5" w:rsidP="00EB51D5">
            <w:pPr>
              <w:widowControl/>
              <w:jc w:val="center"/>
              <w:rPr>
                <w:rFonts w:ascii="Times New Roman" w:eastAsia="宋体" w:hAnsi="Times New Roman" w:cs="Times New Roman"/>
                <w:b/>
                <w:bCs/>
                <w:color w:val="000000"/>
                <w:kern w:val="0"/>
                <w:sz w:val="18"/>
                <w:szCs w:val="18"/>
                <w14:ligatures w14:val="none"/>
              </w:rPr>
            </w:pPr>
            <w:r w:rsidRPr="00EB51D5">
              <w:rPr>
                <w:rFonts w:ascii="Times New Roman" w:eastAsia="宋体" w:hAnsi="Times New Roman" w:cs="Times New Roman"/>
                <w:b/>
                <w:bCs/>
                <w:color w:val="000000"/>
                <w:kern w:val="0"/>
                <w:sz w:val="18"/>
                <w:szCs w:val="18"/>
                <w14:ligatures w14:val="none"/>
              </w:rPr>
              <w:t>ARIMA Method</w:t>
            </w:r>
          </w:p>
        </w:tc>
        <w:tc>
          <w:tcPr>
            <w:tcW w:w="691" w:type="pct"/>
            <w:tcBorders>
              <w:top w:val="single" w:sz="12" w:space="0" w:color="auto"/>
              <w:bottom w:val="single" w:sz="6" w:space="0" w:color="auto"/>
            </w:tcBorders>
            <w:shd w:val="clear" w:color="auto" w:fill="auto"/>
            <w:noWrap/>
            <w:vAlign w:val="center"/>
            <w:hideMark/>
          </w:tcPr>
          <w:p w14:paraId="7818ED15" w14:textId="77777777" w:rsidR="00EB51D5" w:rsidRPr="00EB51D5" w:rsidRDefault="00EB51D5" w:rsidP="00EB51D5">
            <w:pPr>
              <w:widowControl/>
              <w:jc w:val="center"/>
              <w:rPr>
                <w:rFonts w:ascii="Times New Roman" w:eastAsia="宋体" w:hAnsi="Times New Roman" w:cs="Times New Roman"/>
                <w:b/>
                <w:bCs/>
                <w:color w:val="000000"/>
                <w:kern w:val="0"/>
                <w:sz w:val="18"/>
                <w:szCs w:val="18"/>
                <w14:ligatures w14:val="none"/>
              </w:rPr>
            </w:pPr>
            <w:r w:rsidRPr="00EB51D5">
              <w:rPr>
                <w:rFonts w:ascii="Times New Roman" w:eastAsia="宋体" w:hAnsi="Times New Roman" w:cs="Times New Roman"/>
                <w:b/>
                <w:bCs/>
                <w:color w:val="000000"/>
                <w:kern w:val="0"/>
                <w:sz w:val="18"/>
                <w:szCs w:val="18"/>
                <w14:ligatures w14:val="none"/>
              </w:rPr>
              <w:t>RMSE</w:t>
            </w:r>
          </w:p>
        </w:tc>
        <w:tc>
          <w:tcPr>
            <w:tcW w:w="691" w:type="pct"/>
            <w:tcBorders>
              <w:top w:val="single" w:sz="12" w:space="0" w:color="auto"/>
              <w:bottom w:val="single" w:sz="6" w:space="0" w:color="auto"/>
            </w:tcBorders>
            <w:shd w:val="clear" w:color="auto" w:fill="auto"/>
            <w:noWrap/>
            <w:vAlign w:val="center"/>
            <w:hideMark/>
          </w:tcPr>
          <w:p w14:paraId="6F4C39CF" w14:textId="77777777" w:rsidR="00EB51D5" w:rsidRPr="00EB51D5" w:rsidRDefault="00EB51D5" w:rsidP="00EB51D5">
            <w:pPr>
              <w:widowControl/>
              <w:jc w:val="center"/>
              <w:rPr>
                <w:rFonts w:ascii="Times New Roman" w:eastAsia="宋体" w:hAnsi="Times New Roman" w:cs="Times New Roman"/>
                <w:b/>
                <w:bCs/>
                <w:color w:val="000000"/>
                <w:kern w:val="0"/>
                <w:sz w:val="18"/>
                <w:szCs w:val="18"/>
                <w14:ligatures w14:val="none"/>
              </w:rPr>
            </w:pPr>
            <w:r w:rsidRPr="00EB51D5">
              <w:rPr>
                <w:rFonts w:ascii="Times New Roman" w:eastAsia="宋体" w:hAnsi="Times New Roman" w:cs="Times New Roman"/>
                <w:b/>
                <w:bCs/>
                <w:color w:val="000000"/>
                <w:kern w:val="0"/>
                <w:sz w:val="18"/>
                <w:szCs w:val="18"/>
                <w14:ligatures w14:val="none"/>
              </w:rPr>
              <w:t>SD</w:t>
            </w:r>
          </w:p>
        </w:tc>
        <w:tc>
          <w:tcPr>
            <w:tcW w:w="639" w:type="pct"/>
            <w:tcBorders>
              <w:top w:val="single" w:sz="12" w:space="0" w:color="auto"/>
              <w:bottom w:val="single" w:sz="6" w:space="0" w:color="auto"/>
            </w:tcBorders>
            <w:shd w:val="clear" w:color="auto" w:fill="auto"/>
            <w:noWrap/>
            <w:vAlign w:val="center"/>
            <w:hideMark/>
          </w:tcPr>
          <w:p w14:paraId="5A52ABB7" w14:textId="77777777" w:rsidR="00EB51D5" w:rsidRPr="00EB51D5" w:rsidRDefault="00EB51D5" w:rsidP="00EB51D5">
            <w:pPr>
              <w:widowControl/>
              <w:jc w:val="center"/>
              <w:rPr>
                <w:rFonts w:ascii="Times New Roman" w:eastAsia="宋体" w:hAnsi="Times New Roman" w:cs="Times New Roman"/>
                <w:b/>
                <w:bCs/>
                <w:color w:val="000000"/>
                <w:kern w:val="0"/>
                <w:sz w:val="18"/>
                <w:szCs w:val="18"/>
                <w14:ligatures w14:val="none"/>
              </w:rPr>
            </w:pPr>
            <w:r w:rsidRPr="00EB51D5">
              <w:rPr>
                <w:rFonts w:ascii="Times New Roman" w:eastAsia="宋体" w:hAnsi="Times New Roman" w:cs="Times New Roman"/>
                <w:b/>
                <w:bCs/>
                <w:color w:val="000000"/>
                <w:kern w:val="0"/>
                <w:sz w:val="18"/>
                <w:szCs w:val="18"/>
                <w14:ligatures w14:val="none"/>
              </w:rPr>
              <w:t>RMSE/SD</w:t>
            </w:r>
          </w:p>
        </w:tc>
      </w:tr>
      <w:tr w:rsidR="00EB51D5" w:rsidRPr="00EB51D5" w14:paraId="12581C80" w14:textId="77777777" w:rsidTr="00EB51D5">
        <w:trPr>
          <w:trHeight w:val="288"/>
        </w:trPr>
        <w:tc>
          <w:tcPr>
            <w:tcW w:w="603" w:type="pct"/>
            <w:tcBorders>
              <w:top w:val="single" w:sz="6" w:space="0" w:color="auto"/>
            </w:tcBorders>
            <w:shd w:val="clear" w:color="auto" w:fill="auto"/>
            <w:noWrap/>
            <w:vAlign w:val="center"/>
            <w:hideMark/>
          </w:tcPr>
          <w:p w14:paraId="7C59C00B"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1</w:t>
            </w:r>
          </w:p>
        </w:tc>
        <w:tc>
          <w:tcPr>
            <w:tcW w:w="603" w:type="pct"/>
            <w:tcBorders>
              <w:top w:val="single" w:sz="6" w:space="0" w:color="auto"/>
            </w:tcBorders>
            <w:shd w:val="clear" w:color="auto" w:fill="auto"/>
            <w:noWrap/>
            <w:vAlign w:val="center"/>
            <w:hideMark/>
          </w:tcPr>
          <w:p w14:paraId="1A2959C3"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AUS</w:t>
            </w:r>
          </w:p>
        </w:tc>
        <w:tc>
          <w:tcPr>
            <w:tcW w:w="928" w:type="pct"/>
            <w:tcBorders>
              <w:top w:val="single" w:sz="6" w:space="0" w:color="auto"/>
            </w:tcBorders>
            <w:shd w:val="clear" w:color="auto" w:fill="auto"/>
            <w:noWrap/>
            <w:vAlign w:val="center"/>
            <w:hideMark/>
          </w:tcPr>
          <w:p w14:paraId="3F6559BE"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Australia</w:t>
            </w:r>
          </w:p>
        </w:tc>
        <w:tc>
          <w:tcPr>
            <w:tcW w:w="842" w:type="pct"/>
            <w:tcBorders>
              <w:top w:val="single" w:sz="6" w:space="0" w:color="auto"/>
            </w:tcBorders>
            <w:shd w:val="clear" w:color="auto" w:fill="auto"/>
            <w:noWrap/>
            <w:vAlign w:val="center"/>
            <w:hideMark/>
          </w:tcPr>
          <w:p w14:paraId="2E30A7F0" w14:textId="26167FCE"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ARIMA</w:t>
            </w:r>
            <w:r>
              <w:rPr>
                <w:rFonts w:ascii="Times New Roman" w:eastAsia="宋体" w:hAnsi="Times New Roman" w:cs="Times New Roman" w:hint="eastAsia"/>
                <w:color w:val="000000"/>
                <w:kern w:val="0"/>
                <w:sz w:val="18"/>
                <w:szCs w:val="18"/>
                <w14:ligatures w14:val="none"/>
              </w:rPr>
              <w:t xml:space="preserve"> </w:t>
            </w:r>
            <w:r w:rsidRPr="00EB51D5">
              <w:rPr>
                <w:rFonts w:ascii="Times New Roman" w:eastAsia="宋体" w:hAnsi="Times New Roman" w:cs="Times New Roman"/>
                <w:color w:val="000000"/>
                <w:kern w:val="0"/>
                <w:sz w:val="18"/>
                <w:szCs w:val="18"/>
                <w14:ligatures w14:val="none"/>
              </w:rPr>
              <w:t>(0,1,0)</w:t>
            </w:r>
          </w:p>
        </w:tc>
        <w:tc>
          <w:tcPr>
            <w:tcW w:w="691" w:type="pct"/>
            <w:tcBorders>
              <w:top w:val="single" w:sz="6" w:space="0" w:color="auto"/>
            </w:tcBorders>
            <w:shd w:val="clear" w:color="auto" w:fill="auto"/>
            <w:noWrap/>
            <w:vAlign w:val="center"/>
            <w:hideMark/>
          </w:tcPr>
          <w:p w14:paraId="1BA77AD5"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244.10</w:t>
            </w:r>
          </w:p>
        </w:tc>
        <w:tc>
          <w:tcPr>
            <w:tcW w:w="691" w:type="pct"/>
            <w:tcBorders>
              <w:top w:val="single" w:sz="6" w:space="0" w:color="auto"/>
            </w:tcBorders>
            <w:shd w:val="clear" w:color="auto" w:fill="auto"/>
            <w:noWrap/>
            <w:vAlign w:val="center"/>
            <w:hideMark/>
          </w:tcPr>
          <w:p w14:paraId="031FEC4A"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3179.1</w:t>
            </w:r>
          </w:p>
        </w:tc>
        <w:tc>
          <w:tcPr>
            <w:tcW w:w="639" w:type="pct"/>
            <w:tcBorders>
              <w:top w:val="single" w:sz="6" w:space="0" w:color="auto"/>
            </w:tcBorders>
            <w:shd w:val="clear" w:color="auto" w:fill="auto"/>
            <w:noWrap/>
            <w:vAlign w:val="center"/>
            <w:hideMark/>
          </w:tcPr>
          <w:p w14:paraId="7AB87B1E"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0.077</w:t>
            </w:r>
          </w:p>
        </w:tc>
      </w:tr>
      <w:tr w:rsidR="00EB51D5" w:rsidRPr="00EB51D5" w14:paraId="7D04CC99" w14:textId="77777777" w:rsidTr="00EB51D5">
        <w:trPr>
          <w:trHeight w:val="288"/>
        </w:trPr>
        <w:tc>
          <w:tcPr>
            <w:tcW w:w="603" w:type="pct"/>
            <w:shd w:val="clear" w:color="auto" w:fill="auto"/>
            <w:noWrap/>
            <w:vAlign w:val="center"/>
            <w:hideMark/>
          </w:tcPr>
          <w:p w14:paraId="594A0296"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2</w:t>
            </w:r>
          </w:p>
        </w:tc>
        <w:tc>
          <w:tcPr>
            <w:tcW w:w="603" w:type="pct"/>
            <w:shd w:val="clear" w:color="auto" w:fill="auto"/>
            <w:noWrap/>
            <w:vAlign w:val="center"/>
            <w:hideMark/>
          </w:tcPr>
          <w:p w14:paraId="07521527"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AUT</w:t>
            </w:r>
          </w:p>
        </w:tc>
        <w:tc>
          <w:tcPr>
            <w:tcW w:w="928" w:type="pct"/>
            <w:shd w:val="clear" w:color="auto" w:fill="auto"/>
            <w:noWrap/>
            <w:vAlign w:val="center"/>
            <w:hideMark/>
          </w:tcPr>
          <w:p w14:paraId="730238C8"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Austria</w:t>
            </w:r>
          </w:p>
        </w:tc>
        <w:tc>
          <w:tcPr>
            <w:tcW w:w="842" w:type="pct"/>
            <w:shd w:val="clear" w:color="auto" w:fill="auto"/>
            <w:noWrap/>
            <w:vAlign w:val="center"/>
            <w:hideMark/>
          </w:tcPr>
          <w:p w14:paraId="374932AA" w14:textId="4831B982"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ARIMA</w:t>
            </w:r>
            <w:r>
              <w:rPr>
                <w:rFonts w:ascii="Times New Roman" w:eastAsia="宋体" w:hAnsi="Times New Roman" w:cs="Times New Roman" w:hint="eastAsia"/>
                <w:color w:val="000000"/>
                <w:kern w:val="0"/>
                <w:sz w:val="18"/>
                <w:szCs w:val="18"/>
                <w14:ligatures w14:val="none"/>
              </w:rPr>
              <w:t xml:space="preserve"> </w:t>
            </w:r>
            <w:r w:rsidRPr="00EB51D5">
              <w:rPr>
                <w:rFonts w:ascii="Times New Roman" w:eastAsia="宋体" w:hAnsi="Times New Roman" w:cs="Times New Roman"/>
                <w:color w:val="000000"/>
                <w:kern w:val="0"/>
                <w:sz w:val="18"/>
                <w:szCs w:val="18"/>
                <w14:ligatures w14:val="none"/>
              </w:rPr>
              <w:t>(1,1,0)</w:t>
            </w:r>
          </w:p>
        </w:tc>
        <w:tc>
          <w:tcPr>
            <w:tcW w:w="691" w:type="pct"/>
            <w:shd w:val="clear" w:color="auto" w:fill="auto"/>
            <w:noWrap/>
            <w:vAlign w:val="center"/>
            <w:hideMark/>
          </w:tcPr>
          <w:p w14:paraId="0E296DB7"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208.79</w:t>
            </w:r>
          </w:p>
        </w:tc>
        <w:tc>
          <w:tcPr>
            <w:tcW w:w="691" w:type="pct"/>
            <w:shd w:val="clear" w:color="auto" w:fill="auto"/>
            <w:noWrap/>
            <w:vAlign w:val="center"/>
            <w:hideMark/>
          </w:tcPr>
          <w:p w14:paraId="6662C3AB"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1950.2</w:t>
            </w:r>
          </w:p>
        </w:tc>
        <w:tc>
          <w:tcPr>
            <w:tcW w:w="639" w:type="pct"/>
            <w:shd w:val="clear" w:color="auto" w:fill="auto"/>
            <w:noWrap/>
            <w:vAlign w:val="center"/>
            <w:hideMark/>
          </w:tcPr>
          <w:p w14:paraId="75F96E2E"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0.107</w:t>
            </w:r>
          </w:p>
        </w:tc>
      </w:tr>
      <w:tr w:rsidR="00EB51D5" w:rsidRPr="00EB51D5" w14:paraId="245E2ACB" w14:textId="77777777" w:rsidTr="00EB51D5">
        <w:trPr>
          <w:trHeight w:val="288"/>
        </w:trPr>
        <w:tc>
          <w:tcPr>
            <w:tcW w:w="603" w:type="pct"/>
            <w:shd w:val="clear" w:color="auto" w:fill="auto"/>
            <w:noWrap/>
            <w:vAlign w:val="center"/>
            <w:hideMark/>
          </w:tcPr>
          <w:p w14:paraId="3C2A0D62"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3</w:t>
            </w:r>
          </w:p>
        </w:tc>
        <w:tc>
          <w:tcPr>
            <w:tcW w:w="603" w:type="pct"/>
            <w:shd w:val="clear" w:color="auto" w:fill="auto"/>
            <w:noWrap/>
            <w:vAlign w:val="center"/>
            <w:hideMark/>
          </w:tcPr>
          <w:p w14:paraId="34502F8F"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BEL</w:t>
            </w:r>
          </w:p>
        </w:tc>
        <w:tc>
          <w:tcPr>
            <w:tcW w:w="928" w:type="pct"/>
            <w:shd w:val="clear" w:color="auto" w:fill="auto"/>
            <w:noWrap/>
            <w:vAlign w:val="center"/>
            <w:hideMark/>
          </w:tcPr>
          <w:p w14:paraId="033D5B51"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Belgium</w:t>
            </w:r>
          </w:p>
        </w:tc>
        <w:tc>
          <w:tcPr>
            <w:tcW w:w="842" w:type="pct"/>
            <w:shd w:val="clear" w:color="auto" w:fill="auto"/>
            <w:noWrap/>
            <w:vAlign w:val="center"/>
            <w:hideMark/>
          </w:tcPr>
          <w:p w14:paraId="63E4E826" w14:textId="36A6887E"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ARIMA</w:t>
            </w:r>
            <w:r>
              <w:rPr>
                <w:rFonts w:ascii="Times New Roman" w:eastAsia="宋体" w:hAnsi="Times New Roman" w:cs="Times New Roman" w:hint="eastAsia"/>
                <w:color w:val="000000"/>
                <w:kern w:val="0"/>
                <w:sz w:val="18"/>
                <w:szCs w:val="18"/>
                <w14:ligatures w14:val="none"/>
              </w:rPr>
              <w:t xml:space="preserve"> </w:t>
            </w:r>
            <w:r w:rsidRPr="00EB51D5">
              <w:rPr>
                <w:rFonts w:ascii="Times New Roman" w:eastAsia="宋体" w:hAnsi="Times New Roman" w:cs="Times New Roman"/>
                <w:color w:val="000000"/>
                <w:kern w:val="0"/>
                <w:sz w:val="18"/>
                <w:szCs w:val="18"/>
                <w14:ligatures w14:val="none"/>
              </w:rPr>
              <w:t>(2,1,3)</w:t>
            </w:r>
          </w:p>
        </w:tc>
        <w:tc>
          <w:tcPr>
            <w:tcW w:w="691" w:type="pct"/>
            <w:shd w:val="clear" w:color="auto" w:fill="auto"/>
            <w:noWrap/>
            <w:vAlign w:val="center"/>
            <w:hideMark/>
          </w:tcPr>
          <w:p w14:paraId="5FAADCB6"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505.73</w:t>
            </w:r>
          </w:p>
        </w:tc>
        <w:tc>
          <w:tcPr>
            <w:tcW w:w="691" w:type="pct"/>
            <w:shd w:val="clear" w:color="auto" w:fill="auto"/>
            <w:noWrap/>
            <w:vAlign w:val="center"/>
            <w:hideMark/>
          </w:tcPr>
          <w:p w14:paraId="38E219F8"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2198.4</w:t>
            </w:r>
          </w:p>
        </w:tc>
        <w:tc>
          <w:tcPr>
            <w:tcW w:w="639" w:type="pct"/>
            <w:shd w:val="clear" w:color="auto" w:fill="auto"/>
            <w:noWrap/>
            <w:vAlign w:val="center"/>
            <w:hideMark/>
          </w:tcPr>
          <w:p w14:paraId="550B0F7E"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0.230</w:t>
            </w:r>
          </w:p>
        </w:tc>
      </w:tr>
      <w:tr w:rsidR="00EB51D5" w:rsidRPr="00EB51D5" w14:paraId="21ADC57A" w14:textId="77777777" w:rsidTr="00EB51D5">
        <w:trPr>
          <w:trHeight w:val="288"/>
        </w:trPr>
        <w:tc>
          <w:tcPr>
            <w:tcW w:w="603" w:type="pct"/>
            <w:shd w:val="clear" w:color="auto" w:fill="auto"/>
            <w:noWrap/>
            <w:vAlign w:val="center"/>
            <w:hideMark/>
          </w:tcPr>
          <w:p w14:paraId="4B9C754D"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4</w:t>
            </w:r>
          </w:p>
        </w:tc>
        <w:tc>
          <w:tcPr>
            <w:tcW w:w="603" w:type="pct"/>
            <w:shd w:val="clear" w:color="auto" w:fill="auto"/>
            <w:noWrap/>
            <w:vAlign w:val="center"/>
            <w:hideMark/>
          </w:tcPr>
          <w:p w14:paraId="4C4CF6B8"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BGR</w:t>
            </w:r>
          </w:p>
        </w:tc>
        <w:tc>
          <w:tcPr>
            <w:tcW w:w="928" w:type="pct"/>
            <w:shd w:val="clear" w:color="auto" w:fill="auto"/>
            <w:noWrap/>
            <w:vAlign w:val="center"/>
            <w:hideMark/>
          </w:tcPr>
          <w:p w14:paraId="3FA1D253"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Bulgaria</w:t>
            </w:r>
          </w:p>
        </w:tc>
        <w:tc>
          <w:tcPr>
            <w:tcW w:w="842" w:type="pct"/>
            <w:shd w:val="clear" w:color="auto" w:fill="auto"/>
            <w:noWrap/>
            <w:vAlign w:val="center"/>
            <w:hideMark/>
          </w:tcPr>
          <w:p w14:paraId="3E0EA00E" w14:textId="2DCF2291"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ARIMA</w:t>
            </w:r>
            <w:r>
              <w:rPr>
                <w:rFonts w:ascii="Times New Roman" w:eastAsia="宋体" w:hAnsi="Times New Roman" w:cs="Times New Roman" w:hint="eastAsia"/>
                <w:color w:val="000000"/>
                <w:kern w:val="0"/>
                <w:sz w:val="18"/>
                <w:szCs w:val="18"/>
                <w14:ligatures w14:val="none"/>
              </w:rPr>
              <w:t xml:space="preserve"> </w:t>
            </w:r>
            <w:r w:rsidRPr="00EB51D5">
              <w:rPr>
                <w:rFonts w:ascii="Times New Roman" w:eastAsia="宋体" w:hAnsi="Times New Roman" w:cs="Times New Roman"/>
                <w:color w:val="000000"/>
                <w:kern w:val="0"/>
                <w:sz w:val="18"/>
                <w:szCs w:val="18"/>
                <w14:ligatures w14:val="none"/>
              </w:rPr>
              <w:t>(0,1,0)</w:t>
            </w:r>
          </w:p>
        </w:tc>
        <w:tc>
          <w:tcPr>
            <w:tcW w:w="691" w:type="pct"/>
            <w:shd w:val="clear" w:color="auto" w:fill="auto"/>
            <w:noWrap/>
            <w:vAlign w:val="center"/>
            <w:hideMark/>
          </w:tcPr>
          <w:p w14:paraId="521F141F"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214.04</w:t>
            </w:r>
          </w:p>
        </w:tc>
        <w:tc>
          <w:tcPr>
            <w:tcW w:w="691" w:type="pct"/>
            <w:shd w:val="clear" w:color="auto" w:fill="auto"/>
            <w:noWrap/>
            <w:vAlign w:val="center"/>
            <w:hideMark/>
          </w:tcPr>
          <w:p w14:paraId="0D53DDB4"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1786.4</w:t>
            </w:r>
          </w:p>
        </w:tc>
        <w:tc>
          <w:tcPr>
            <w:tcW w:w="639" w:type="pct"/>
            <w:shd w:val="clear" w:color="auto" w:fill="auto"/>
            <w:noWrap/>
            <w:vAlign w:val="center"/>
            <w:hideMark/>
          </w:tcPr>
          <w:p w14:paraId="656D0034"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0.120</w:t>
            </w:r>
          </w:p>
        </w:tc>
      </w:tr>
      <w:tr w:rsidR="00EB51D5" w:rsidRPr="00EB51D5" w14:paraId="1FD46BAF" w14:textId="77777777" w:rsidTr="00EB51D5">
        <w:trPr>
          <w:trHeight w:val="288"/>
        </w:trPr>
        <w:tc>
          <w:tcPr>
            <w:tcW w:w="603" w:type="pct"/>
            <w:shd w:val="clear" w:color="auto" w:fill="auto"/>
            <w:noWrap/>
            <w:vAlign w:val="center"/>
            <w:hideMark/>
          </w:tcPr>
          <w:p w14:paraId="227D9318"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5</w:t>
            </w:r>
          </w:p>
        </w:tc>
        <w:tc>
          <w:tcPr>
            <w:tcW w:w="603" w:type="pct"/>
            <w:shd w:val="clear" w:color="auto" w:fill="auto"/>
            <w:noWrap/>
            <w:vAlign w:val="center"/>
            <w:hideMark/>
          </w:tcPr>
          <w:p w14:paraId="4680B4EB"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CAN</w:t>
            </w:r>
          </w:p>
        </w:tc>
        <w:tc>
          <w:tcPr>
            <w:tcW w:w="928" w:type="pct"/>
            <w:shd w:val="clear" w:color="auto" w:fill="auto"/>
            <w:noWrap/>
            <w:vAlign w:val="center"/>
            <w:hideMark/>
          </w:tcPr>
          <w:p w14:paraId="52A973DC"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Canada</w:t>
            </w:r>
          </w:p>
        </w:tc>
        <w:tc>
          <w:tcPr>
            <w:tcW w:w="842" w:type="pct"/>
            <w:shd w:val="clear" w:color="auto" w:fill="auto"/>
            <w:noWrap/>
            <w:vAlign w:val="center"/>
            <w:hideMark/>
          </w:tcPr>
          <w:p w14:paraId="49CEAC9E" w14:textId="7E6DD184"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ARIMA</w:t>
            </w:r>
            <w:r>
              <w:rPr>
                <w:rFonts w:ascii="Times New Roman" w:eastAsia="宋体" w:hAnsi="Times New Roman" w:cs="Times New Roman" w:hint="eastAsia"/>
                <w:color w:val="000000"/>
                <w:kern w:val="0"/>
                <w:sz w:val="18"/>
                <w:szCs w:val="18"/>
                <w14:ligatures w14:val="none"/>
              </w:rPr>
              <w:t xml:space="preserve"> </w:t>
            </w:r>
            <w:r w:rsidRPr="00EB51D5">
              <w:rPr>
                <w:rFonts w:ascii="Times New Roman" w:eastAsia="宋体" w:hAnsi="Times New Roman" w:cs="Times New Roman"/>
                <w:color w:val="000000"/>
                <w:kern w:val="0"/>
                <w:sz w:val="18"/>
                <w:szCs w:val="18"/>
                <w14:ligatures w14:val="none"/>
              </w:rPr>
              <w:t>(0,1,1)</w:t>
            </w:r>
          </w:p>
        </w:tc>
        <w:tc>
          <w:tcPr>
            <w:tcW w:w="691" w:type="pct"/>
            <w:shd w:val="clear" w:color="auto" w:fill="auto"/>
            <w:noWrap/>
            <w:vAlign w:val="center"/>
            <w:hideMark/>
          </w:tcPr>
          <w:p w14:paraId="18C1003E"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636.66</w:t>
            </w:r>
          </w:p>
        </w:tc>
        <w:tc>
          <w:tcPr>
            <w:tcW w:w="691" w:type="pct"/>
            <w:shd w:val="clear" w:color="auto" w:fill="auto"/>
            <w:noWrap/>
            <w:vAlign w:val="center"/>
            <w:hideMark/>
          </w:tcPr>
          <w:p w14:paraId="3F331201"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4631.6</w:t>
            </w:r>
          </w:p>
        </w:tc>
        <w:tc>
          <w:tcPr>
            <w:tcW w:w="639" w:type="pct"/>
            <w:shd w:val="clear" w:color="auto" w:fill="auto"/>
            <w:noWrap/>
            <w:vAlign w:val="center"/>
            <w:hideMark/>
          </w:tcPr>
          <w:p w14:paraId="25469525"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0.137</w:t>
            </w:r>
          </w:p>
        </w:tc>
      </w:tr>
      <w:tr w:rsidR="00EB51D5" w:rsidRPr="00EB51D5" w14:paraId="62354D79" w14:textId="77777777" w:rsidTr="00EB51D5">
        <w:trPr>
          <w:trHeight w:val="288"/>
        </w:trPr>
        <w:tc>
          <w:tcPr>
            <w:tcW w:w="603" w:type="pct"/>
            <w:shd w:val="clear" w:color="auto" w:fill="auto"/>
            <w:noWrap/>
            <w:vAlign w:val="center"/>
            <w:hideMark/>
          </w:tcPr>
          <w:p w14:paraId="3333D7BD"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6</w:t>
            </w:r>
          </w:p>
        </w:tc>
        <w:tc>
          <w:tcPr>
            <w:tcW w:w="603" w:type="pct"/>
            <w:shd w:val="clear" w:color="auto" w:fill="auto"/>
            <w:noWrap/>
            <w:vAlign w:val="center"/>
            <w:hideMark/>
          </w:tcPr>
          <w:p w14:paraId="66E84C38"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HRV</w:t>
            </w:r>
          </w:p>
        </w:tc>
        <w:tc>
          <w:tcPr>
            <w:tcW w:w="928" w:type="pct"/>
            <w:shd w:val="clear" w:color="auto" w:fill="auto"/>
            <w:noWrap/>
            <w:vAlign w:val="center"/>
            <w:hideMark/>
          </w:tcPr>
          <w:p w14:paraId="78C0E305"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Croatia</w:t>
            </w:r>
          </w:p>
        </w:tc>
        <w:tc>
          <w:tcPr>
            <w:tcW w:w="842" w:type="pct"/>
            <w:shd w:val="clear" w:color="auto" w:fill="auto"/>
            <w:noWrap/>
            <w:vAlign w:val="center"/>
            <w:hideMark/>
          </w:tcPr>
          <w:p w14:paraId="1AD23F7D" w14:textId="560BA1AC"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ARIMA</w:t>
            </w:r>
            <w:r>
              <w:rPr>
                <w:rFonts w:ascii="Times New Roman" w:eastAsia="宋体" w:hAnsi="Times New Roman" w:cs="Times New Roman" w:hint="eastAsia"/>
                <w:color w:val="000000"/>
                <w:kern w:val="0"/>
                <w:sz w:val="18"/>
                <w:szCs w:val="18"/>
                <w14:ligatures w14:val="none"/>
              </w:rPr>
              <w:t xml:space="preserve"> </w:t>
            </w:r>
            <w:r w:rsidRPr="00EB51D5">
              <w:rPr>
                <w:rFonts w:ascii="Times New Roman" w:eastAsia="宋体" w:hAnsi="Times New Roman" w:cs="Times New Roman"/>
                <w:color w:val="000000"/>
                <w:kern w:val="0"/>
                <w:sz w:val="18"/>
                <w:szCs w:val="18"/>
                <w14:ligatures w14:val="none"/>
              </w:rPr>
              <w:t>(0,1,0)</w:t>
            </w:r>
          </w:p>
        </w:tc>
        <w:tc>
          <w:tcPr>
            <w:tcW w:w="691" w:type="pct"/>
            <w:shd w:val="clear" w:color="auto" w:fill="auto"/>
            <w:noWrap/>
            <w:vAlign w:val="center"/>
            <w:hideMark/>
          </w:tcPr>
          <w:p w14:paraId="0EDA5DE1"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103.72</w:t>
            </w:r>
          </w:p>
        </w:tc>
        <w:tc>
          <w:tcPr>
            <w:tcW w:w="691" w:type="pct"/>
            <w:shd w:val="clear" w:color="auto" w:fill="auto"/>
            <w:noWrap/>
            <w:vAlign w:val="center"/>
            <w:hideMark/>
          </w:tcPr>
          <w:p w14:paraId="6A502E71"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1331.4</w:t>
            </w:r>
          </w:p>
        </w:tc>
        <w:tc>
          <w:tcPr>
            <w:tcW w:w="639" w:type="pct"/>
            <w:shd w:val="clear" w:color="auto" w:fill="auto"/>
            <w:noWrap/>
            <w:vAlign w:val="center"/>
            <w:hideMark/>
          </w:tcPr>
          <w:p w14:paraId="21129D9D"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0.078</w:t>
            </w:r>
          </w:p>
        </w:tc>
      </w:tr>
      <w:tr w:rsidR="00EB51D5" w:rsidRPr="00EB51D5" w14:paraId="26EFFC4B" w14:textId="77777777" w:rsidTr="00EB51D5">
        <w:trPr>
          <w:trHeight w:val="288"/>
        </w:trPr>
        <w:tc>
          <w:tcPr>
            <w:tcW w:w="603" w:type="pct"/>
            <w:shd w:val="clear" w:color="auto" w:fill="auto"/>
            <w:noWrap/>
            <w:vAlign w:val="center"/>
            <w:hideMark/>
          </w:tcPr>
          <w:p w14:paraId="31EA1910"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7</w:t>
            </w:r>
          </w:p>
        </w:tc>
        <w:tc>
          <w:tcPr>
            <w:tcW w:w="603" w:type="pct"/>
            <w:shd w:val="clear" w:color="auto" w:fill="auto"/>
            <w:noWrap/>
            <w:vAlign w:val="center"/>
            <w:hideMark/>
          </w:tcPr>
          <w:p w14:paraId="7CD0492F"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CYP</w:t>
            </w:r>
          </w:p>
        </w:tc>
        <w:tc>
          <w:tcPr>
            <w:tcW w:w="928" w:type="pct"/>
            <w:shd w:val="clear" w:color="auto" w:fill="auto"/>
            <w:noWrap/>
            <w:vAlign w:val="center"/>
            <w:hideMark/>
          </w:tcPr>
          <w:p w14:paraId="5D949020"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Cyprus</w:t>
            </w:r>
          </w:p>
        </w:tc>
        <w:tc>
          <w:tcPr>
            <w:tcW w:w="842" w:type="pct"/>
            <w:shd w:val="clear" w:color="auto" w:fill="auto"/>
            <w:noWrap/>
            <w:vAlign w:val="center"/>
            <w:hideMark/>
          </w:tcPr>
          <w:p w14:paraId="276A05CD" w14:textId="174632E8"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ARIMA</w:t>
            </w:r>
            <w:r>
              <w:rPr>
                <w:rFonts w:ascii="Times New Roman" w:eastAsia="宋体" w:hAnsi="Times New Roman" w:cs="Times New Roman" w:hint="eastAsia"/>
                <w:color w:val="000000"/>
                <w:kern w:val="0"/>
                <w:sz w:val="18"/>
                <w:szCs w:val="18"/>
                <w14:ligatures w14:val="none"/>
              </w:rPr>
              <w:t xml:space="preserve"> </w:t>
            </w:r>
            <w:r w:rsidRPr="00EB51D5">
              <w:rPr>
                <w:rFonts w:ascii="Times New Roman" w:eastAsia="宋体" w:hAnsi="Times New Roman" w:cs="Times New Roman"/>
                <w:color w:val="000000"/>
                <w:kern w:val="0"/>
                <w:sz w:val="18"/>
                <w:szCs w:val="18"/>
                <w14:ligatures w14:val="none"/>
              </w:rPr>
              <w:t>(1,1,0)</w:t>
            </w:r>
          </w:p>
        </w:tc>
        <w:tc>
          <w:tcPr>
            <w:tcW w:w="691" w:type="pct"/>
            <w:shd w:val="clear" w:color="auto" w:fill="auto"/>
            <w:noWrap/>
            <w:vAlign w:val="center"/>
            <w:hideMark/>
          </w:tcPr>
          <w:p w14:paraId="296D4BB6"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79.11</w:t>
            </w:r>
          </w:p>
        </w:tc>
        <w:tc>
          <w:tcPr>
            <w:tcW w:w="691" w:type="pct"/>
            <w:shd w:val="clear" w:color="auto" w:fill="auto"/>
            <w:noWrap/>
            <w:vAlign w:val="center"/>
            <w:hideMark/>
          </w:tcPr>
          <w:p w14:paraId="60FE4E78"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627.4</w:t>
            </w:r>
          </w:p>
        </w:tc>
        <w:tc>
          <w:tcPr>
            <w:tcW w:w="639" w:type="pct"/>
            <w:shd w:val="clear" w:color="auto" w:fill="auto"/>
            <w:noWrap/>
            <w:vAlign w:val="center"/>
            <w:hideMark/>
          </w:tcPr>
          <w:p w14:paraId="17154B21"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0.126</w:t>
            </w:r>
          </w:p>
        </w:tc>
      </w:tr>
      <w:tr w:rsidR="00EB51D5" w:rsidRPr="00EB51D5" w14:paraId="70BE9F2C" w14:textId="77777777" w:rsidTr="00EB51D5">
        <w:trPr>
          <w:trHeight w:val="288"/>
        </w:trPr>
        <w:tc>
          <w:tcPr>
            <w:tcW w:w="603" w:type="pct"/>
            <w:shd w:val="clear" w:color="auto" w:fill="auto"/>
            <w:noWrap/>
            <w:vAlign w:val="center"/>
            <w:hideMark/>
          </w:tcPr>
          <w:p w14:paraId="5FAE91C6"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8</w:t>
            </w:r>
          </w:p>
        </w:tc>
        <w:tc>
          <w:tcPr>
            <w:tcW w:w="603" w:type="pct"/>
            <w:shd w:val="clear" w:color="auto" w:fill="auto"/>
            <w:noWrap/>
            <w:vAlign w:val="center"/>
            <w:hideMark/>
          </w:tcPr>
          <w:p w14:paraId="471B528A"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CZE</w:t>
            </w:r>
          </w:p>
        </w:tc>
        <w:tc>
          <w:tcPr>
            <w:tcW w:w="928" w:type="pct"/>
            <w:shd w:val="clear" w:color="auto" w:fill="auto"/>
            <w:noWrap/>
            <w:vAlign w:val="center"/>
            <w:hideMark/>
          </w:tcPr>
          <w:p w14:paraId="7E3A4A67"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Czechia</w:t>
            </w:r>
          </w:p>
        </w:tc>
        <w:tc>
          <w:tcPr>
            <w:tcW w:w="842" w:type="pct"/>
            <w:shd w:val="clear" w:color="auto" w:fill="auto"/>
            <w:noWrap/>
            <w:vAlign w:val="center"/>
            <w:hideMark/>
          </w:tcPr>
          <w:p w14:paraId="1D453C31" w14:textId="7B1BA593"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ARIMA</w:t>
            </w:r>
            <w:r>
              <w:rPr>
                <w:rFonts w:ascii="Times New Roman" w:eastAsia="宋体" w:hAnsi="Times New Roman" w:cs="Times New Roman" w:hint="eastAsia"/>
                <w:color w:val="000000"/>
                <w:kern w:val="0"/>
                <w:sz w:val="18"/>
                <w:szCs w:val="18"/>
                <w14:ligatures w14:val="none"/>
              </w:rPr>
              <w:t xml:space="preserve"> </w:t>
            </w:r>
            <w:r w:rsidRPr="00EB51D5">
              <w:rPr>
                <w:rFonts w:ascii="Times New Roman" w:eastAsia="宋体" w:hAnsi="Times New Roman" w:cs="Times New Roman"/>
                <w:color w:val="000000"/>
                <w:kern w:val="0"/>
                <w:sz w:val="18"/>
                <w:szCs w:val="18"/>
                <w14:ligatures w14:val="none"/>
              </w:rPr>
              <w:t>(0,1,0)</w:t>
            </w:r>
          </w:p>
        </w:tc>
        <w:tc>
          <w:tcPr>
            <w:tcW w:w="691" w:type="pct"/>
            <w:shd w:val="clear" w:color="auto" w:fill="auto"/>
            <w:noWrap/>
            <w:vAlign w:val="center"/>
            <w:hideMark/>
          </w:tcPr>
          <w:p w14:paraId="0422F780"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624.55</w:t>
            </w:r>
          </w:p>
        </w:tc>
        <w:tc>
          <w:tcPr>
            <w:tcW w:w="691" w:type="pct"/>
            <w:shd w:val="clear" w:color="auto" w:fill="auto"/>
            <w:noWrap/>
            <w:vAlign w:val="center"/>
            <w:hideMark/>
          </w:tcPr>
          <w:p w14:paraId="4C7D98DB"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3299.5</w:t>
            </w:r>
          </w:p>
        </w:tc>
        <w:tc>
          <w:tcPr>
            <w:tcW w:w="639" w:type="pct"/>
            <w:shd w:val="clear" w:color="auto" w:fill="auto"/>
            <w:noWrap/>
            <w:vAlign w:val="center"/>
            <w:hideMark/>
          </w:tcPr>
          <w:p w14:paraId="095DDB9C"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0.189</w:t>
            </w:r>
          </w:p>
        </w:tc>
      </w:tr>
      <w:tr w:rsidR="00EB51D5" w:rsidRPr="00EB51D5" w14:paraId="4E336FF9" w14:textId="77777777" w:rsidTr="00EB51D5">
        <w:trPr>
          <w:trHeight w:val="288"/>
        </w:trPr>
        <w:tc>
          <w:tcPr>
            <w:tcW w:w="603" w:type="pct"/>
            <w:shd w:val="clear" w:color="auto" w:fill="auto"/>
            <w:noWrap/>
            <w:vAlign w:val="center"/>
            <w:hideMark/>
          </w:tcPr>
          <w:p w14:paraId="5BED6154"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9</w:t>
            </w:r>
          </w:p>
        </w:tc>
        <w:tc>
          <w:tcPr>
            <w:tcW w:w="603" w:type="pct"/>
            <w:shd w:val="clear" w:color="auto" w:fill="auto"/>
            <w:noWrap/>
            <w:vAlign w:val="center"/>
            <w:hideMark/>
          </w:tcPr>
          <w:p w14:paraId="3CBBC794"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DNK</w:t>
            </w:r>
          </w:p>
        </w:tc>
        <w:tc>
          <w:tcPr>
            <w:tcW w:w="928" w:type="pct"/>
            <w:shd w:val="clear" w:color="auto" w:fill="auto"/>
            <w:noWrap/>
            <w:vAlign w:val="center"/>
            <w:hideMark/>
          </w:tcPr>
          <w:p w14:paraId="0AE46078"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Denmark</w:t>
            </w:r>
          </w:p>
        </w:tc>
        <w:tc>
          <w:tcPr>
            <w:tcW w:w="842" w:type="pct"/>
            <w:shd w:val="clear" w:color="auto" w:fill="auto"/>
            <w:noWrap/>
            <w:vAlign w:val="center"/>
            <w:hideMark/>
          </w:tcPr>
          <w:p w14:paraId="76559E0D" w14:textId="6EABFA8D"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ARIMA</w:t>
            </w:r>
            <w:r>
              <w:rPr>
                <w:rFonts w:ascii="Times New Roman" w:eastAsia="宋体" w:hAnsi="Times New Roman" w:cs="Times New Roman" w:hint="eastAsia"/>
                <w:color w:val="000000"/>
                <w:kern w:val="0"/>
                <w:sz w:val="18"/>
                <w:szCs w:val="18"/>
                <w14:ligatures w14:val="none"/>
              </w:rPr>
              <w:t xml:space="preserve"> </w:t>
            </w:r>
            <w:r w:rsidRPr="00EB51D5">
              <w:rPr>
                <w:rFonts w:ascii="Times New Roman" w:eastAsia="宋体" w:hAnsi="Times New Roman" w:cs="Times New Roman"/>
                <w:color w:val="000000"/>
                <w:kern w:val="0"/>
                <w:sz w:val="18"/>
                <w:szCs w:val="18"/>
                <w14:ligatures w14:val="none"/>
              </w:rPr>
              <w:t>(0,1,0)</w:t>
            </w:r>
          </w:p>
        </w:tc>
        <w:tc>
          <w:tcPr>
            <w:tcW w:w="691" w:type="pct"/>
            <w:shd w:val="clear" w:color="auto" w:fill="auto"/>
            <w:noWrap/>
            <w:vAlign w:val="center"/>
            <w:hideMark/>
          </w:tcPr>
          <w:p w14:paraId="4D9D5D58"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177.17</w:t>
            </w:r>
          </w:p>
        </w:tc>
        <w:tc>
          <w:tcPr>
            <w:tcW w:w="691" w:type="pct"/>
            <w:shd w:val="clear" w:color="auto" w:fill="auto"/>
            <w:noWrap/>
            <w:vAlign w:val="center"/>
            <w:hideMark/>
          </w:tcPr>
          <w:p w14:paraId="2912E64A"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741.1</w:t>
            </w:r>
          </w:p>
        </w:tc>
        <w:tc>
          <w:tcPr>
            <w:tcW w:w="639" w:type="pct"/>
            <w:shd w:val="clear" w:color="auto" w:fill="auto"/>
            <w:noWrap/>
            <w:vAlign w:val="center"/>
            <w:hideMark/>
          </w:tcPr>
          <w:p w14:paraId="55197F3F"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0.239</w:t>
            </w:r>
          </w:p>
        </w:tc>
      </w:tr>
      <w:tr w:rsidR="00EB51D5" w:rsidRPr="00EB51D5" w14:paraId="0784A457" w14:textId="77777777" w:rsidTr="00EB51D5">
        <w:trPr>
          <w:trHeight w:val="288"/>
        </w:trPr>
        <w:tc>
          <w:tcPr>
            <w:tcW w:w="603" w:type="pct"/>
            <w:shd w:val="clear" w:color="auto" w:fill="auto"/>
            <w:noWrap/>
            <w:vAlign w:val="center"/>
            <w:hideMark/>
          </w:tcPr>
          <w:p w14:paraId="265B865D"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10</w:t>
            </w:r>
          </w:p>
        </w:tc>
        <w:tc>
          <w:tcPr>
            <w:tcW w:w="603" w:type="pct"/>
            <w:shd w:val="clear" w:color="auto" w:fill="auto"/>
            <w:noWrap/>
            <w:vAlign w:val="center"/>
            <w:hideMark/>
          </w:tcPr>
          <w:p w14:paraId="203E6EA3"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FIN</w:t>
            </w:r>
          </w:p>
        </w:tc>
        <w:tc>
          <w:tcPr>
            <w:tcW w:w="928" w:type="pct"/>
            <w:shd w:val="clear" w:color="auto" w:fill="auto"/>
            <w:noWrap/>
            <w:vAlign w:val="center"/>
            <w:hideMark/>
          </w:tcPr>
          <w:p w14:paraId="16271652"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Finland</w:t>
            </w:r>
          </w:p>
        </w:tc>
        <w:tc>
          <w:tcPr>
            <w:tcW w:w="842" w:type="pct"/>
            <w:shd w:val="clear" w:color="auto" w:fill="auto"/>
            <w:noWrap/>
            <w:vAlign w:val="center"/>
            <w:hideMark/>
          </w:tcPr>
          <w:p w14:paraId="748FF69E" w14:textId="56B7E0B1"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ARIMA</w:t>
            </w:r>
            <w:r>
              <w:rPr>
                <w:rFonts w:ascii="Times New Roman" w:eastAsia="宋体" w:hAnsi="Times New Roman" w:cs="Times New Roman" w:hint="eastAsia"/>
                <w:color w:val="000000"/>
                <w:kern w:val="0"/>
                <w:sz w:val="18"/>
                <w:szCs w:val="18"/>
                <w14:ligatures w14:val="none"/>
              </w:rPr>
              <w:t xml:space="preserve"> </w:t>
            </w:r>
            <w:r w:rsidRPr="00EB51D5">
              <w:rPr>
                <w:rFonts w:ascii="Times New Roman" w:eastAsia="宋体" w:hAnsi="Times New Roman" w:cs="Times New Roman"/>
                <w:color w:val="000000"/>
                <w:kern w:val="0"/>
                <w:sz w:val="18"/>
                <w:szCs w:val="18"/>
                <w14:ligatures w14:val="none"/>
              </w:rPr>
              <w:t>(0,1,0)</w:t>
            </w:r>
          </w:p>
        </w:tc>
        <w:tc>
          <w:tcPr>
            <w:tcW w:w="691" w:type="pct"/>
            <w:shd w:val="clear" w:color="auto" w:fill="auto"/>
            <w:noWrap/>
            <w:vAlign w:val="center"/>
            <w:hideMark/>
          </w:tcPr>
          <w:p w14:paraId="51F4F964"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115.70</w:t>
            </w:r>
          </w:p>
        </w:tc>
        <w:tc>
          <w:tcPr>
            <w:tcW w:w="691" w:type="pct"/>
            <w:shd w:val="clear" w:color="auto" w:fill="auto"/>
            <w:noWrap/>
            <w:vAlign w:val="center"/>
            <w:hideMark/>
          </w:tcPr>
          <w:p w14:paraId="3E10640B"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553.2</w:t>
            </w:r>
          </w:p>
        </w:tc>
        <w:tc>
          <w:tcPr>
            <w:tcW w:w="639" w:type="pct"/>
            <w:shd w:val="clear" w:color="auto" w:fill="auto"/>
            <w:noWrap/>
            <w:vAlign w:val="center"/>
            <w:hideMark/>
          </w:tcPr>
          <w:p w14:paraId="15DAD75C"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0.209</w:t>
            </w:r>
          </w:p>
        </w:tc>
      </w:tr>
      <w:tr w:rsidR="00EB51D5" w:rsidRPr="00EB51D5" w14:paraId="0B0D0D42" w14:textId="77777777" w:rsidTr="00EB51D5">
        <w:trPr>
          <w:trHeight w:val="288"/>
        </w:trPr>
        <w:tc>
          <w:tcPr>
            <w:tcW w:w="603" w:type="pct"/>
            <w:shd w:val="clear" w:color="auto" w:fill="auto"/>
            <w:noWrap/>
            <w:vAlign w:val="center"/>
            <w:hideMark/>
          </w:tcPr>
          <w:p w14:paraId="06A14EC3"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11</w:t>
            </w:r>
          </w:p>
        </w:tc>
        <w:tc>
          <w:tcPr>
            <w:tcW w:w="603" w:type="pct"/>
            <w:shd w:val="clear" w:color="auto" w:fill="auto"/>
            <w:noWrap/>
            <w:vAlign w:val="center"/>
            <w:hideMark/>
          </w:tcPr>
          <w:p w14:paraId="7557484F"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FRA</w:t>
            </w:r>
          </w:p>
        </w:tc>
        <w:tc>
          <w:tcPr>
            <w:tcW w:w="928" w:type="pct"/>
            <w:shd w:val="clear" w:color="auto" w:fill="auto"/>
            <w:noWrap/>
            <w:vAlign w:val="center"/>
            <w:hideMark/>
          </w:tcPr>
          <w:p w14:paraId="307DE4C1"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France</w:t>
            </w:r>
          </w:p>
        </w:tc>
        <w:tc>
          <w:tcPr>
            <w:tcW w:w="842" w:type="pct"/>
            <w:shd w:val="clear" w:color="auto" w:fill="auto"/>
            <w:noWrap/>
            <w:vAlign w:val="center"/>
            <w:hideMark/>
          </w:tcPr>
          <w:p w14:paraId="68BD82DF" w14:textId="6733CEAC"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ARIMA</w:t>
            </w:r>
            <w:r>
              <w:rPr>
                <w:rFonts w:ascii="Times New Roman" w:eastAsia="宋体" w:hAnsi="Times New Roman" w:cs="Times New Roman" w:hint="eastAsia"/>
                <w:color w:val="000000"/>
                <w:kern w:val="0"/>
                <w:sz w:val="18"/>
                <w:szCs w:val="18"/>
                <w14:ligatures w14:val="none"/>
              </w:rPr>
              <w:t xml:space="preserve"> </w:t>
            </w:r>
            <w:r w:rsidRPr="00EB51D5">
              <w:rPr>
                <w:rFonts w:ascii="Times New Roman" w:eastAsia="宋体" w:hAnsi="Times New Roman" w:cs="Times New Roman"/>
                <w:color w:val="000000"/>
                <w:kern w:val="0"/>
                <w:sz w:val="18"/>
                <w:szCs w:val="18"/>
                <w14:ligatures w14:val="none"/>
              </w:rPr>
              <w:t>(0,2,1)</w:t>
            </w:r>
          </w:p>
        </w:tc>
        <w:tc>
          <w:tcPr>
            <w:tcW w:w="691" w:type="pct"/>
            <w:shd w:val="clear" w:color="auto" w:fill="auto"/>
            <w:noWrap/>
            <w:vAlign w:val="center"/>
            <w:hideMark/>
          </w:tcPr>
          <w:p w14:paraId="49529F25"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995.70</w:t>
            </w:r>
          </w:p>
        </w:tc>
        <w:tc>
          <w:tcPr>
            <w:tcW w:w="691" w:type="pct"/>
            <w:shd w:val="clear" w:color="auto" w:fill="auto"/>
            <w:noWrap/>
            <w:vAlign w:val="center"/>
            <w:hideMark/>
          </w:tcPr>
          <w:p w14:paraId="01B02B22"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8976.8</w:t>
            </w:r>
          </w:p>
        </w:tc>
        <w:tc>
          <w:tcPr>
            <w:tcW w:w="639" w:type="pct"/>
            <w:shd w:val="clear" w:color="auto" w:fill="auto"/>
            <w:noWrap/>
            <w:vAlign w:val="center"/>
            <w:hideMark/>
          </w:tcPr>
          <w:p w14:paraId="5E735EEA"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0.111</w:t>
            </w:r>
          </w:p>
        </w:tc>
      </w:tr>
      <w:tr w:rsidR="00EB51D5" w:rsidRPr="00EB51D5" w14:paraId="712AC84A" w14:textId="77777777" w:rsidTr="00EB51D5">
        <w:trPr>
          <w:trHeight w:val="288"/>
        </w:trPr>
        <w:tc>
          <w:tcPr>
            <w:tcW w:w="603" w:type="pct"/>
            <w:shd w:val="clear" w:color="auto" w:fill="auto"/>
            <w:noWrap/>
            <w:vAlign w:val="center"/>
            <w:hideMark/>
          </w:tcPr>
          <w:p w14:paraId="0EC243B8"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12</w:t>
            </w:r>
          </w:p>
        </w:tc>
        <w:tc>
          <w:tcPr>
            <w:tcW w:w="603" w:type="pct"/>
            <w:shd w:val="clear" w:color="auto" w:fill="auto"/>
            <w:noWrap/>
            <w:vAlign w:val="center"/>
            <w:hideMark/>
          </w:tcPr>
          <w:p w14:paraId="4DAC99CC"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DEU</w:t>
            </w:r>
          </w:p>
        </w:tc>
        <w:tc>
          <w:tcPr>
            <w:tcW w:w="928" w:type="pct"/>
            <w:shd w:val="clear" w:color="auto" w:fill="auto"/>
            <w:noWrap/>
            <w:vAlign w:val="center"/>
            <w:hideMark/>
          </w:tcPr>
          <w:p w14:paraId="71950A89"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Germany</w:t>
            </w:r>
          </w:p>
        </w:tc>
        <w:tc>
          <w:tcPr>
            <w:tcW w:w="842" w:type="pct"/>
            <w:shd w:val="clear" w:color="auto" w:fill="auto"/>
            <w:noWrap/>
            <w:vAlign w:val="center"/>
            <w:hideMark/>
          </w:tcPr>
          <w:p w14:paraId="7DC22B64" w14:textId="498C9DA9"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ARIMA</w:t>
            </w:r>
            <w:r>
              <w:rPr>
                <w:rFonts w:ascii="Times New Roman" w:eastAsia="宋体" w:hAnsi="Times New Roman" w:cs="Times New Roman" w:hint="eastAsia"/>
                <w:color w:val="000000"/>
                <w:kern w:val="0"/>
                <w:sz w:val="18"/>
                <w:szCs w:val="18"/>
                <w14:ligatures w14:val="none"/>
              </w:rPr>
              <w:t xml:space="preserve"> </w:t>
            </w:r>
            <w:r w:rsidRPr="00EB51D5">
              <w:rPr>
                <w:rFonts w:ascii="Times New Roman" w:eastAsia="宋体" w:hAnsi="Times New Roman" w:cs="Times New Roman"/>
                <w:color w:val="000000"/>
                <w:kern w:val="0"/>
                <w:sz w:val="18"/>
                <w:szCs w:val="18"/>
                <w14:ligatures w14:val="none"/>
              </w:rPr>
              <w:t>(0,1,0)</w:t>
            </w:r>
          </w:p>
        </w:tc>
        <w:tc>
          <w:tcPr>
            <w:tcW w:w="691" w:type="pct"/>
            <w:shd w:val="clear" w:color="auto" w:fill="auto"/>
            <w:noWrap/>
            <w:vAlign w:val="center"/>
            <w:hideMark/>
          </w:tcPr>
          <w:p w14:paraId="1D07A4D3"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2193.67</w:t>
            </w:r>
          </w:p>
        </w:tc>
        <w:tc>
          <w:tcPr>
            <w:tcW w:w="691" w:type="pct"/>
            <w:shd w:val="clear" w:color="auto" w:fill="auto"/>
            <w:noWrap/>
            <w:vAlign w:val="center"/>
            <w:hideMark/>
          </w:tcPr>
          <w:p w14:paraId="494AF21E"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13967.9</w:t>
            </w:r>
          </w:p>
        </w:tc>
        <w:tc>
          <w:tcPr>
            <w:tcW w:w="639" w:type="pct"/>
            <w:shd w:val="clear" w:color="auto" w:fill="auto"/>
            <w:noWrap/>
            <w:vAlign w:val="center"/>
            <w:hideMark/>
          </w:tcPr>
          <w:p w14:paraId="5B373CF7"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0.157</w:t>
            </w:r>
          </w:p>
        </w:tc>
      </w:tr>
      <w:tr w:rsidR="00EB51D5" w:rsidRPr="00EB51D5" w14:paraId="3F7CA281" w14:textId="77777777" w:rsidTr="00EB51D5">
        <w:trPr>
          <w:trHeight w:val="288"/>
        </w:trPr>
        <w:tc>
          <w:tcPr>
            <w:tcW w:w="603" w:type="pct"/>
            <w:shd w:val="clear" w:color="auto" w:fill="auto"/>
            <w:noWrap/>
            <w:vAlign w:val="center"/>
            <w:hideMark/>
          </w:tcPr>
          <w:p w14:paraId="1152A2B1"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13</w:t>
            </w:r>
          </w:p>
        </w:tc>
        <w:tc>
          <w:tcPr>
            <w:tcW w:w="603" w:type="pct"/>
            <w:shd w:val="clear" w:color="auto" w:fill="auto"/>
            <w:noWrap/>
            <w:vAlign w:val="center"/>
            <w:hideMark/>
          </w:tcPr>
          <w:p w14:paraId="2A3811AE"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GRC</w:t>
            </w:r>
          </w:p>
        </w:tc>
        <w:tc>
          <w:tcPr>
            <w:tcW w:w="928" w:type="pct"/>
            <w:shd w:val="clear" w:color="auto" w:fill="auto"/>
            <w:noWrap/>
            <w:vAlign w:val="center"/>
            <w:hideMark/>
          </w:tcPr>
          <w:p w14:paraId="440B0E96"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Greece</w:t>
            </w:r>
          </w:p>
        </w:tc>
        <w:tc>
          <w:tcPr>
            <w:tcW w:w="842" w:type="pct"/>
            <w:shd w:val="clear" w:color="auto" w:fill="auto"/>
            <w:noWrap/>
            <w:vAlign w:val="center"/>
            <w:hideMark/>
          </w:tcPr>
          <w:p w14:paraId="773B6A2E" w14:textId="32893BEE"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ARIMA</w:t>
            </w:r>
            <w:r>
              <w:rPr>
                <w:rFonts w:ascii="Times New Roman" w:eastAsia="宋体" w:hAnsi="Times New Roman" w:cs="Times New Roman" w:hint="eastAsia"/>
                <w:color w:val="000000"/>
                <w:kern w:val="0"/>
                <w:sz w:val="18"/>
                <w:szCs w:val="18"/>
                <w14:ligatures w14:val="none"/>
              </w:rPr>
              <w:t xml:space="preserve"> </w:t>
            </w:r>
            <w:r w:rsidRPr="00EB51D5">
              <w:rPr>
                <w:rFonts w:ascii="Times New Roman" w:eastAsia="宋体" w:hAnsi="Times New Roman" w:cs="Times New Roman"/>
                <w:color w:val="000000"/>
                <w:kern w:val="0"/>
                <w:sz w:val="18"/>
                <w:szCs w:val="18"/>
                <w14:ligatures w14:val="none"/>
              </w:rPr>
              <w:t>(0,1,0)</w:t>
            </w:r>
          </w:p>
        </w:tc>
        <w:tc>
          <w:tcPr>
            <w:tcW w:w="691" w:type="pct"/>
            <w:shd w:val="clear" w:color="auto" w:fill="auto"/>
            <w:noWrap/>
            <w:vAlign w:val="center"/>
            <w:hideMark/>
          </w:tcPr>
          <w:p w14:paraId="3D6550CF"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508.48</w:t>
            </w:r>
          </w:p>
        </w:tc>
        <w:tc>
          <w:tcPr>
            <w:tcW w:w="691" w:type="pct"/>
            <w:shd w:val="clear" w:color="auto" w:fill="auto"/>
            <w:noWrap/>
            <w:vAlign w:val="center"/>
            <w:hideMark/>
          </w:tcPr>
          <w:p w14:paraId="72D9F6D4"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5753.4</w:t>
            </w:r>
          </w:p>
        </w:tc>
        <w:tc>
          <w:tcPr>
            <w:tcW w:w="639" w:type="pct"/>
            <w:shd w:val="clear" w:color="auto" w:fill="auto"/>
            <w:noWrap/>
            <w:vAlign w:val="center"/>
            <w:hideMark/>
          </w:tcPr>
          <w:p w14:paraId="2EDF16DB"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0.088</w:t>
            </w:r>
          </w:p>
        </w:tc>
      </w:tr>
      <w:tr w:rsidR="00EB51D5" w:rsidRPr="00EB51D5" w14:paraId="0772C82D" w14:textId="77777777" w:rsidTr="00EB51D5">
        <w:trPr>
          <w:trHeight w:val="288"/>
        </w:trPr>
        <w:tc>
          <w:tcPr>
            <w:tcW w:w="603" w:type="pct"/>
            <w:shd w:val="clear" w:color="auto" w:fill="auto"/>
            <w:noWrap/>
            <w:vAlign w:val="center"/>
            <w:hideMark/>
          </w:tcPr>
          <w:p w14:paraId="2B730BA0"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14</w:t>
            </w:r>
          </w:p>
        </w:tc>
        <w:tc>
          <w:tcPr>
            <w:tcW w:w="603" w:type="pct"/>
            <w:shd w:val="clear" w:color="auto" w:fill="auto"/>
            <w:noWrap/>
            <w:vAlign w:val="center"/>
            <w:hideMark/>
          </w:tcPr>
          <w:p w14:paraId="7791CE04"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HUN</w:t>
            </w:r>
          </w:p>
        </w:tc>
        <w:tc>
          <w:tcPr>
            <w:tcW w:w="928" w:type="pct"/>
            <w:shd w:val="clear" w:color="auto" w:fill="auto"/>
            <w:noWrap/>
            <w:vAlign w:val="center"/>
            <w:hideMark/>
          </w:tcPr>
          <w:p w14:paraId="2F9967F0"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Hungary</w:t>
            </w:r>
          </w:p>
        </w:tc>
        <w:tc>
          <w:tcPr>
            <w:tcW w:w="842" w:type="pct"/>
            <w:shd w:val="clear" w:color="auto" w:fill="auto"/>
            <w:noWrap/>
            <w:vAlign w:val="center"/>
            <w:hideMark/>
          </w:tcPr>
          <w:p w14:paraId="2B353F06" w14:textId="55CCE3A4"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ARIMA</w:t>
            </w:r>
            <w:r>
              <w:rPr>
                <w:rFonts w:ascii="Times New Roman" w:eastAsia="宋体" w:hAnsi="Times New Roman" w:cs="Times New Roman" w:hint="eastAsia"/>
                <w:color w:val="000000"/>
                <w:kern w:val="0"/>
                <w:sz w:val="18"/>
                <w:szCs w:val="18"/>
                <w14:ligatures w14:val="none"/>
              </w:rPr>
              <w:t xml:space="preserve"> </w:t>
            </w:r>
            <w:r w:rsidRPr="00EB51D5">
              <w:rPr>
                <w:rFonts w:ascii="Times New Roman" w:eastAsia="宋体" w:hAnsi="Times New Roman" w:cs="Times New Roman"/>
                <w:color w:val="000000"/>
                <w:kern w:val="0"/>
                <w:sz w:val="18"/>
                <w:szCs w:val="18"/>
                <w14:ligatures w14:val="none"/>
              </w:rPr>
              <w:t>(0,1,1)</w:t>
            </w:r>
          </w:p>
        </w:tc>
        <w:tc>
          <w:tcPr>
            <w:tcW w:w="691" w:type="pct"/>
            <w:shd w:val="clear" w:color="auto" w:fill="auto"/>
            <w:noWrap/>
            <w:vAlign w:val="center"/>
            <w:hideMark/>
          </w:tcPr>
          <w:p w14:paraId="34BFA50B"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561.58</w:t>
            </w:r>
          </w:p>
        </w:tc>
        <w:tc>
          <w:tcPr>
            <w:tcW w:w="691" w:type="pct"/>
            <w:shd w:val="clear" w:color="auto" w:fill="auto"/>
            <w:noWrap/>
            <w:vAlign w:val="center"/>
            <w:hideMark/>
          </w:tcPr>
          <w:p w14:paraId="372B64FF"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1698.3</w:t>
            </w:r>
          </w:p>
        </w:tc>
        <w:tc>
          <w:tcPr>
            <w:tcW w:w="639" w:type="pct"/>
            <w:shd w:val="clear" w:color="auto" w:fill="auto"/>
            <w:noWrap/>
            <w:vAlign w:val="center"/>
            <w:hideMark/>
          </w:tcPr>
          <w:p w14:paraId="16CE67DA"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0.331</w:t>
            </w:r>
          </w:p>
        </w:tc>
      </w:tr>
      <w:tr w:rsidR="00EB51D5" w:rsidRPr="00EB51D5" w14:paraId="00EEC5A5" w14:textId="77777777" w:rsidTr="00EB51D5">
        <w:trPr>
          <w:trHeight w:val="288"/>
        </w:trPr>
        <w:tc>
          <w:tcPr>
            <w:tcW w:w="603" w:type="pct"/>
            <w:shd w:val="clear" w:color="auto" w:fill="auto"/>
            <w:noWrap/>
            <w:vAlign w:val="center"/>
            <w:hideMark/>
          </w:tcPr>
          <w:p w14:paraId="59761FBE"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15</w:t>
            </w:r>
          </w:p>
        </w:tc>
        <w:tc>
          <w:tcPr>
            <w:tcW w:w="603" w:type="pct"/>
            <w:shd w:val="clear" w:color="auto" w:fill="auto"/>
            <w:noWrap/>
            <w:vAlign w:val="center"/>
            <w:hideMark/>
          </w:tcPr>
          <w:p w14:paraId="23AC9B1C"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IRL</w:t>
            </w:r>
          </w:p>
        </w:tc>
        <w:tc>
          <w:tcPr>
            <w:tcW w:w="928" w:type="pct"/>
            <w:shd w:val="clear" w:color="auto" w:fill="auto"/>
            <w:noWrap/>
            <w:vAlign w:val="center"/>
            <w:hideMark/>
          </w:tcPr>
          <w:p w14:paraId="2FC747E8"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Ireland</w:t>
            </w:r>
          </w:p>
        </w:tc>
        <w:tc>
          <w:tcPr>
            <w:tcW w:w="842" w:type="pct"/>
            <w:shd w:val="clear" w:color="auto" w:fill="auto"/>
            <w:noWrap/>
            <w:vAlign w:val="center"/>
            <w:hideMark/>
          </w:tcPr>
          <w:p w14:paraId="0B1E54BE" w14:textId="3045DDAD"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ARIMA</w:t>
            </w:r>
            <w:r>
              <w:rPr>
                <w:rFonts w:ascii="Times New Roman" w:eastAsia="宋体" w:hAnsi="Times New Roman" w:cs="Times New Roman" w:hint="eastAsia"/>
                <w:color w:val="000000"/>
                <w:kern w:val="0"/>
                <w:sz w:val="18"/>
                <w:szCs w:val="18"/>
                <w14:ligatures w14:val="none"/>
              </w:rPr>
              <w:t xml:space="preserve"> </w:t>
            </w:r>
            <w:r w:rsidRPr="00EB51D5">
              <w:rPr>
                <w:rFonts w:ascii="Times New Roman" w:eastAsia="宋体" w:hAnsi="Times New Roman" w:cs="Times New Roman"/>
                <w:color w:val="000000"/>
                <w:kern w:val="0"/>
                <w:sz w:val="18"/>
                <w:szCs w:val="18"/>
                <w14:ligatures w14:val="none"/>
              </w:rPr>
              <w:t>(1,0,0)</w:t>
            </w:r>
          </w:p>
        </w:tc>
        <w:tc>
          <w:tcPr>
            <w:tcW w:w="691" w:type="pct"/>
            <w:shd w:val="clear" w:color="auto" w:fill="auto"/>
            <w:noWrap/>
            <w:vAlign w:val="center"/>
            <w:hideMark/>
          </w:tcPr>
          <w:p w14:paraId="25A5BF1D"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477.69</w:t>
            </w:r>
          </w:p>
        </w:tc>
        <w:tc>
          <w:tcPr>
            <w:tcW w:w="691" w:type="pct"/>
            <w:shd w:val="clear" w:color="auto" w:fill="auto"/>
            <w:noWrap/>
            <w:vAlign w:val="center"/>
            <w:hideMark/>
          </w:tcPr>
          <w:p w14:paraId="62A176F4"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2250.5</w:t>
            </w:r>
          </w:p>
        </w:tc>
        <w:tc>
          <w:tcPr>
            <w:tcW w:w="639" w:type="pct"/>
            <w:shd w:val="clear" w:color="auto" w:fill="auto"/>
            <w:noWrap/>
            <w:vAlign w:val="center"/>
            <w:hideMark/>
          </w:tcPr>
          <w:p w14:paraId="675D4A0D"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0.212</w:t>
            </w:r>
          </w:p>
        </w:tc>
      </w:tr>
      <w:tr w:rsidR="00EB51D5" w:rsidRPr="00EB51D5" w14:paraId="15EACE12" w14:textId="77777777" w:rsidTr="00EB51D5">
        <w:trPr>
          <w:trHeight w:val="288"/>
        </w:trPr>
        <w:tc>
          <w:tcPr>
            <w:tcW w:w="603" w:type="pct"/>
            <w:shd w:val="clear" w:color="auto" w:fill="auto"/>
            <w:noWrap/>
            <w:vAlign w:val="center"/>
            <w:hideMark/>
          </w:tcPr>
          <w:p w14:paraId="6320F426"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16</w:t>
            </w:r>
          </w:p>
        </w:tc>
        <w:tc>
          <w:tcPr>
            <w:tcW w:w="603" w:type="pct"/>
            <w:shd w:val="clear" w:color="auto" w:fill="auto"/>
            <w:noWrap/>
            <w:vAlign w:val="center"/>
            <w:hideMark/>
          </w:tcPr>
          <w:p w14:paraId="02435244"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ITA</w:t>
            </w:r>
          </w:p>
        </w:tc>
        <w:tc>
          <w:tcPr>
            <w:tcW w:w="928" w:type="pct"/>
            <w:shd w:val="clear" w:color="auto" w:fill="auto"/>
            <w:noWrap/>
            <w:vAlign w:val="center"/>
            <w:hideMark/>
          </w:tcPr>
          <w:p w14:paraId="6BB7AE54"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Italy</w:t>
            </w:r>
          </w:p>
        </w:tc>
        <w:tc>
          <w:tcPr>
            <w:tcW w:w="842" w:type="pct"/>
            <w:shd w:val="clear" w:color="auto" w:fill="auto"/>
            <w:noWrap/>
            <w:vAlign w:val="center"/>
            <w:hideMark/>
          </w:tcPr>
          <w:p w14:paraId="00A7AC21" w14:textId="0355FA30"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ARIMA</w:t>
            </w:r>
            <w:r>
              <w:rPr>
                <w:rFonts w:ascii="Times New Roman" w:eastAsia="宋体" w:hAnsi="Times New Roman" w:cs="Times New Roman" w:hint="eastAsia"/>
                <w:color w:val="000000"/>
                <w:kern w:val="0"/>
                <w:sz w:val="18"/>
                <w:szCs w:val="18"/>
                <w14:ligatures w14:val="none"/>
              </w:rPr>
              <w:t xml:space="preserve"> </w:t>
            </w:r>
            <w:r w:rsidRPr="00EB51D5">
              <w:rPr>
                <w:rFonts w:ascii="Times New Roman" w:eastAsia="宋体" w:hAnsi="Times New Roman" w:cs="Times New Roman"/>
                <w:color w:val="000000"/>
                <w:kern w:val="0"/>
                <w:sz w:val="18"/>
                <w:szCs w:val="18"/>
                <w14:ligatures w14:val="none"/>
              </w:rPr>
              <w:t>(0,1,0)</w:t>
            </w:r>
          </w:p>
        </w:tc>
        <w:tc>
          <w:tcPr>
            <w:tcW w:w="691" w:type="pct"/>
            <w:shd w:val="clear" w:color="auto" w:fill="auto"/>
            <w:noWrap/>
            <w:vAlign w:val="center"/>
            <w:hideMark/>
          </w:tcPr>
          <w:p w14:paraId="3B832FDA"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1978.69</w:t>
            </w:r>
          </w:p>
        </w:tc>
        <w:tc>
          <w:tcPr>
            <w:tcW w:w="691" w:type="pct"/>
            <w:shd w:val="clear" w:color="auto" w:fill="auto"/>
            <w:noWrap/>
            <w:vAlign w:val="center"/>
            <w:hideMark/>
          </w:tcPr>
          <w:p w14:paraId="32CF8B13"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15521.0</w:t>
            </w:r>
          </w:p>
        </w:tc>
        <w:tc>
          <w:tcPr>
            <w:tcW w:w="639" w:type="pct"/>
            <w:shd w:val="clear" w:color="auto" w:fill="auto"/>
            <w:noWrap/>
            <w:vAlign w:val="center"/>
            <w:hideMark/>
          </w:tcPr>
          <w:p w14:paraId="5F1724C7"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0.127</w:t>
            </w:r>
          </w:p>
        </w:tc>
      </w:tr>
      <w:tr w:rsidR="00EB51D5" w:rsidRPr="00EB51D5" w14:paraId="35225A7B" w14:textId="77777777" w:rsidTr="00EB51D5">
        <w:trPr>
          <w:trHeight w:val="288"/>
        </w:trPr>
        <w:tc>
          <w:tcPr>
            <w:tcW w:w="603" w:type="pct"/>
            <w:shd w:val="clear" w:color="auto" w:fill="auto"/>
            <w:noWrap/>
            <w:vAlign w:val="center"/>
            <w:hideMark/>
          </w:tcPr>
          <w:p w14:paraId="6BF051F7"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17</w:t>
            </w:r>
          </w:p>
        </w:tc>
        <w:tc>
          <w:tcPr>
            <w:tcW w:w="603" w:type="pct"/>
            <w:shd w:val="clear" w:color="auto" w:fill="auto"/>
            <w:noWrap/>
            <w:vAlign w:val="center"/>
            <w:hideMark/>
          </w:tcPr>
          <w:p w14:paraId="7D85713B"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LUX</w:t>
            </w:r>
          </w:p>
        </w:tc>
        <w:tc>
          <w:tcPr>
            <w:tcW w:w="928" w:type="pct"/>
            <w:shd w:val="clear" w:color="auto" w:fill="auto"/>
            <w:noWrap/>
            <w:vAlign w:val="center"/>
            <w:hideMark/>
          </w:tcPr>
          <w:p w14:paraId="0355D20F"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Luxembourg</w:t>
            </w:r>
          </w:p>
        </w:tc>
        <w:tc>
          <w:tcPr>
            <w:tcW w:w="842" w:type="pct"/>
            <w:shd w:val="clear" w:color="auto" w:fill="auto"/>
            <w:noWrap/>
            <w:vAlign w:val="center"/>
            <w:hideMark/>
          </w:tcPr>
          <w:p w14:paraId="0E68330A" w14:textId="146BA9BB"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ARIMA</w:t>
            </w:r>
            <w:r>
              <w:rPr>
                <w:rFonts w:ascii="Times New Roman" w:eastAsia="宋体" w:hAnsi="Times New Roman" w:cs="Times New Roman" w:hint="eastAsia"/>
                <w:color w:val="000000"/>
                <w:kern w:val="0"/>
                <w:sz w:val="18"/>
                <w:szCs w:val="18"/>
                <w14:ligatures w14:val="none"/>
              </w:rPr>
              <w:t xml:space="preserve"> </w:t>
            </w:r>
            <w:r w:rsidRPr="00EB51D5">
              <w:rPr>
                <w:rFonts w:ascii="Times New Roman" w:eastAsia="宋体" w:hAnsi="Times New Roman" w:cs="Times New Roman"/>
                <w:color w:val="000000"/>
                <w:kern w:val="0"/>
                <w:sz w:val="18"/>
                <w:szCs w:val="18"/>
                <w14:ligatures w14:val="none"/>
              </w:rPr>
              <w:t>(2,1,2)</w:t>
            </w:r>
          </w:p>
        </w:tc>
        <w:tc>
          <w:tcPr>
            <w:tcW w:w="691" w:type="pct"/>
            <w:shd w:val="clear" w:color="auto" w:fill="auto"/>
            <w:noWrap/>
            <w:vAlign w:val="center"/>
            <w:hideMark/>
          </w:tcPr>
          <w:p w14:paraId="4E7AB2D7"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36.31</w:t>
            </w:r>
          </w:p>
        </w:tc>
        <w:tc>
          <w:tcPr>
            <w:tcW w:w="691" w:type="pct"/>
            <w:shd w:val="clear" w:color="auto" w:fill="auto"/>
            <w:noWrap/>
            <w:vAlign w:val="center"/>
            <w:hideMark/>
          </w:tcPr>
          <w:p w14:paraId="542BC263"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394.3</w:t>
            </w:r>
          </w:p>
        </w:tc>
        <w:tc>
          <w:tcPr>
            <w:tcW w:w="639" w:type="pct"/>
            <w:shd w:val="clear" w:color="auto" w:fill="auto"/>
            <w:noWrap/>
            <w:vAlign w:val="center"/>
            <w:hideMark/>
          </w:tcPr>
          <w:p w14:paraId="2DCD3977"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0.092</w:t>
            </w:r>
          </w:p>
        </w:tc>
      </w:tr>
      <w:tr w:rsidR="00EB51D5" w:rsidRPr="00EB51D5" w14:paraId="19CC43E8" w14:textId="77777777" w:rsidTr="00EB51D5">
        <w:trPr>
          <w:trHeight w:val="288"/>
        </w:trPr>
        <w:tc>
          <w:tcPr>
            <w:tcW w:w="603" w:type="pct"/>
            <w:shd w:val="clear" w:color="auto" w:fill="auto"/>
            <w:noWrap/>
            <w:vAlign w:val="center"/>
            <w:hideMark/>
          </w:tcPr>
          <w:p w14:paraId="01F5E8C5"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18</w:t>
            </w:r>
          </w:p>
        </w:tc>
        <w:tc>
          <w:tcPr>
            <w:tcW w:w="603" w:type="pct"/>
            <w:shd w:val="clear" w:color="auto" w:fill="auto"/>
            <w:noWrap/>
            <w:vAlign w:val="center"/>
            <w:hideMark/>
          </w:tcPr>
          <w:p w14:paraId="51EF7700"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NLD</w:t>
            </w:r>
          </w:p>
        </w:tc>
        <w:tc>
          <w:tcPr>
            <w:tcW w:w="928" w:type="pct"/>
            <w:shd w:val="clear" w:color="auto" w:fill="auto"/>
            <w:noWrap/>
            <w:vAlign w:val="center"/>
            <w:hideMark/>
          </w:tcPr>
          <w:p w14:paraId="6AB525FF"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Netherlands</w:t>
            </w:r>
          </w:p>
        </w:tc>
        <w:tc>
          <w:tcPr>
            <w:tcW w:w="842" w:type="pct"/>
            <w:shd w:val="clear" w:color="auto" w:fill="auto"/>
            <w:noWrap/>
            <w:vAlign w:val="center"/>
            <w:hideMark/>
          </w:tcPr>
          <w:p w14:paraId="427FA72A" w14:textId="015B1772"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ARIMA</w:t>
            </w:r>
            <w:r>
              <w:rPr>
                <w:rFonts w:ascii="Times New Roman" w:eastAsia="宋体" w:hAnsi="Times New Roman" w:cs="Times New Roman" w:hint="eastAsia"/>
                <w:color w:val="000000"/>
                <w:kern w:val="0"/>
                <w:sz w:val="18"/>
                <w:szCs w:val="18"/>
                <w14:ligatures w14:val="none"/>
              </w:rPr>
              <w:t xml:space="preserve"> </w:t>
            </w:r>
            <w:r w:rsidRPr="00EB51D5">
              <w:rPr>
                <w:rFonts w:ascii="Times New Roman" w:eastAsia="宋体" w:hAnsi="Times New Roman" w:cs="Times New Roman"/>
                <w:color w:val="000000"/>
                <w:kern w:val="0"/>
                <w:sz w:val="18"/>
                <w:szCs w:val="18"/>
                <w14:ligatures w14:val="none"/>
              </w:rPr>
              <w:t>(0,1,0)</w:t>
            </w:r>
          </w:p>
        </w:tc>
        <w:tc>
          <w:tcPr>
            <w:tcW w:w="691" w:type="pct"/>
            <w:shd w:val="clear" w:color="auto" w:fill="auto"/>
            <w:noWrap/>
            <w:vAlign w:val="center"/>
            <w:hideMark/>
          </w:tcPr>
          <w:p w14:paraId="363CD5F1"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173.91</w:t>
            </w:r>
          </w:p>
        </w:tc>
        <w:tc>
          <w:tcPr>
            <w:tcW w:w="691" w:type="pct"/>
            <w:shd w:val="clear" w:color="auto" w:fill="auto"/>
            <w:noWrap/>
            <w:vAlign w:val="center"/>
            <w:hideMark/>
          </w:tcPr>
          <w:p w14:paraId="56E856AA"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1282.7</w:t>
            </w:r>
          </w:p>
        </w:tc>
        <w:tc>
          <w:tcPr>
            <w:tcW w:w="639" w:type="pct"/>
            <w:shd w:val="clear" w:color="auto" w:fill="auto"/>
            <w:noWrap/>
            <w:vAlign w:val="center"/>
            <w:hideMark/>
          </w:tcPr>
          <w:p w14:paraId="2A51A8FA"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0.136</w:t>
            </w:r>
          </w:p>
        </w:tc>
      </w:tr>
      <w:tr w:rsidR="00EB51D5" w:rsidRPr="00EB51D5" w14:paraId="6DDFE299" w14:textId="77777777" w:rsidTr="00EB51D5">
        <w:trPr>
          <w:trHeight w:val="288"/>
        </w:trPr>
        <w:tc>
          <w:tcPr>
            <w:tcW w:w="603" w:type="pct"/>
            <w:shd w:val="clear" w:color="auto" w:fill="auto"/>
            <w:noWrap/>
            <w:vAlign w:val="center"/>
            <w:hideMark/>
          </w:tcPr>
          <w:p w14:paraId="4C55E0E4"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19</w:t>
            </w:r>
          </w:p>
        </w:tc>
        <w:tc>
          <w:tcPr>
            <w:tcW w:w="603" w:type="pct"/>
            <w:shd w:val="clear" w:color="auto" w:fill="auto"/>
            <w:noWrap/>
            <w:vAlign w:val="center"/>
            <w:hideMark/>
          </w:tcPr>
          <w:p w14:paraId="15A15ADB"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NOR</w:t>
            </w:r>
          </w:p>
        </w:tc>
        <w:tc>
          <w:tcPr>
            <w:tcW w:w="928" w:type="pct"/>
            <w:shd w:val="clear" w:color="auto" w:fill="auto"/>
            <w:noWrap/>
            <w:vAlign w:val="center"/>
            <w:hideMark/>
          </w:tcPr>
          <w:p w14:paraId="6A2736BB"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Norway</w:t>
            </w:r>
          </w:p>
        </w:tc>
        <w:tc>
          <w:tcPr>
            <w:tcW w:w="842" w:type="pct"/>
            <w:shd w:val="clear" w:color="auto" w:fill="auto"/>
            <w:noWrap/>
            <w:vAlign w:val="center"/>
            <w:hideMark/>
          </w:tcPr>
          <w:p w14:paraId="7D6BA675" w14:textId="1E9F1FD9"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ARIMA</w:t>
            </w:r>
            <w:r>
              <w:rPr>
                <w:rFonts w:ascii="Times New Roman" w:eastAsia="宋体" w:hAnsi="Times New Roman" w:cs="Times New Roman" w:hint="eastAsia"/>
                <w:color w:val="000000"/>
                <w:kern w:val="0"/>
                <w:sz w:val="18"/>
                <w:szCs w:val="18"/>
                <w14:ligatures w14:val="none"/>
              </w:rPr>
              <w:t xml:space="preserve"> </w:t>
            </w:r>
            <w:r w:rsidRPr="00EB51D5">
              <w:rPr>
                <w:rFonts w:ascii="Times New Roman" w:eastAsia="宋体" w:hAnsi="Times New Roman" w:cs="Times New Roman"/>
                <w:color w:val="000000"/>
                <w:kern w:val="0"/>
                <w:sz w:val="18"/>
                <w:szCs w:val="18"/>
                <w14:ligatures w14:val="none"/>
              </w:rPr>
              <w:t>(2,1,2)</w:t>
            </w:r>
          </w:p>
        </w:tc>
        <w:tc>
          <w:tcPr>
            <w:tcW w:w="691" w:type="pct"/>
            <w:shd w:val="clear" w:color="auto" w:fill="auto"/>
            <w:noWrap/>
            <w:vAlign w:val="center"/>
            <w:hideMark/>
          </w:tcPr>
          <w:p w14:paraId="25DDC061"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126.16</w:t>
            </w:r>
          </w:p>
        </w:tc>
        <w:tc>
          <w:tcPr>
            <w:tcW w:w="691" w:type="pct"/>
            <w:shd w:val="clear" w:color="auto" w:fill="auto"/>
            <w:noWrap/>
            <w:vAlign w:val="center"/>
            <w:hideMark/>
          </w:tcPr>
          <w:p w14:paraId="472A160A"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726.9</w:t>
            </w:r>
          </w:p>
        </w:tc>
        <w:tc>
          <w:tcPr>
            <w:tcW w:w="639" w:type="pct"/>
            <w:shd w:val="clear" w:color="auto" w:fill="auto"/>
            <w:noWrap/>
            <w:vAlign w:val="center"/>
            <w:hideMark/>
          </w:tcPr>
          <w:p w14:paraId="349C5E71"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0.174</w:t>
            </w:r>
          </w:p>
        </w:tc>
      </w:tr>
      <w:tr w:rsidR="00EB51D5" w:rsidRPr="00EB51D5" w14:paraId="0A9F39E4" w14:textId="77777777" w:rsidTr="00EB51D5">
        <w:trPr>
          <w:trHeight w:val="288"/>
        </w:trPr>
        <w:tc>
          <w:tcPr>
            <w:tcW w:w="603" w:type="pct"/>
            <w:shd w:val="clear" w:color="auto" w:fill="auto"/>
            <w:noWrap/>
            <w:vAlign w:val="center"/>
            <w:hideMark/>
          </w:tcPr>
          <w:p w14:paraId="410507B6"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20</w:t>
            </w:r>
          </w:p>
        </w:tc>
        <w:tc>
          <w:tcPr>
            <w:tcW w:w="603" w:type="pct"/>
            <w:shd w:val="clear" w:color="auto" w:fill="auto"/>
            <w:noWrap/>
            <w:vAlign w:val="center"/>
            <w:hideMark/>
          </w:tcPr>
          <w:p w14:paraId="79059BF8"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POL</w:t>
            </w:r>
          </w:p>
        </w:tc>
        <w:tc>
          <w:tcPr>
            <w:tcW w:w="928" w:type="pct"/>
            <w:shd w:val="clear" w:color="auto" w:fill="auto"/>
            <w:noWrap/>
            <w:vAlign w:val="center"/>
            <w:hideMark/>
          </w:tcPr>
          <w:p w14:paraId="673D648A"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Poland</w:t>
            </w:r>
          </w:p>
        </w:tc>
        <w:tc>
          <w:tcPr>
            <w:tcW w:w="842" w:type="pct"/>
            <w:shd w:val="clear" w:color="auto" w:fill="auto"/>
            <w:noWrap/>
            <w:vAlign w:val="center"/>
            <w:hideMark/>
          </w:tcPr>
          <w:p w14:paraId="3946EE41" w14:textId="59957A7C"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ARIMA</w:t>
            </w:r>
            <w:r>
              <w:rPr>
                <w:rFonts w:ascii="Times New Roman" w:eastAsia="宋体" w:hAnsi="Times New Roman" w:cs="Times New Roman" w:hint="eastAsia"/>
                <w:color w:val="000000"/>
                <w:kern w:val="0"/>
                <w:sz w:val="18"/>
                <w:szCs w:val="18"/>
                <w14:ligatures w14:val="none"/>
              </w:rPr>
              <w:t xml:space="preserve"> </w:t>
            </w:r>
            <w:r w:rsidRPr="00EB51D5">
              <w:rPr>
                <w:rFonts w:ascii="Times New Roman" w:eastAsia="宋体" w:hAnsi="Times New Roman" w:cs="Times New Roman"/>
                <w:color w:val="000000"/>
                <w:kern w:val="0"/>
                <w:sz w:val="18"/>
                <w:szCs w:val="18"/>
                <w14:ligatures w14:val="none"/>
              </w:rPr>
              <w:t>(0,1,0)</w:t>
            </w:r>
          </w:p>
        </w:tc>
        <w:tc>
          <w:tcPr>
            <w:tcW w:w="691" w:type="pct"/>
            <w:shd w:val="clear" w:color="auto" w:fill="auto"/>
            <w:noWrap/>
            <w:vAlign w:val="center"/>
            <w:hideMark/>
          </w:tcPr>
          <w:p w14:paraId="712F1192"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869.71</w:t>
            </w:r>
          </w:p>
        </w:tc>
        <w:tc>
          <w:tcPr>
            <w:tcW w:w="691" w:type="pct"/>
            <w:shd w:val="clear" w:color="auto" w:fill="auto"/>
            <w:noWrap/>
            <w:vAlign w:val="center"/>
            <w:hideMark/>
          </w:tcPr>
          <w:p w14:paraId="35C205B3"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6756.4</w:t>
            </w:r>
          </w:p>
        </w:tc>
        <w:tc>
          <w:tcPr>
            <w:tcW w:w="639" w:type="pct"/>
            <w:shd w:val="clear" w:color="auto" w:fill="auto"/>
            <w:noWrap/>
            <w:vAlign w:val="center"/>
            <w:hideMark/>
          </w:tcPr>
          <w:p w14:paraId="6F618103"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0.129</w:t>
            </w:r>
          </w:p>
        </w:tc>
      </w:tr>
      <w:tr w:rsidR="00EB51D5" w:rsidRPr="00EB51D5" w14:paraId="128E260B" w14:textId="77777777" w:rsidTr="00EB51D5">
        <w:trPr>
          <w:trHeight w:val="288"/>
        </w:trPr>
        <w:tc>
          <w:tcPr>
            <w:tcW w:w="603" w:type="pct"/>
            <w:shd w:val="clear" w:color="auto" w:fill="auto"/>
            <w:noWrap/>
            <w:vAlign w:val="center"/>
            <w:hideMark/>
          </w:tcPr>
          <w:p w14:paraId="197CA597"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21</w:t>
            </w:r>
          </w:p>
        </w:tc>
        <w:tc>
          <w:tcPr>
            <w:tcW w:w="603" w:type="pct"/>
            <w:shd w:val="clear" w:color="auto" w:fill="auto"/>
            <w:noWrap/>
            <w:vAlign w:val="center"/>
            <w:hideMark/>
          </w:tcPr>
          <w:p w14:paraId="5DE94973"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PRT</w:t>
            </w:r>
          </w:p>
        </w:tc>
        <w:tc>
          <w:tcPr>
            <w:tcW w:w="928" w:type="pct"/>
            <w:shd w:val="clear" w:color="auto" w:fill="auto"/>
            <w:noWrap/>
            <w:vAlign w:val="center"/>
            <w:hideMark/>
          </w:tcPr>
          <w:p w14:paraId="59B3B870"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Portugal</w:t>
            </w:r>
          </w:p>
        </w:tc>
        <w:tc>
          <w:tcPr>
            <w:tcW w:w="842" w:type="pct"/>
            <w:shd w:val="clear" w:color="auto" w:fill="auto"/>
            <w:noWrap/>
            <w:vAlign w:val="center"/>
            <w:hideMark/>
          </w:tcPr>
          <w:p w14:paraId="5EB77D99" w14:textId="5688C44B"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ARIMA</w:t>
            </w:r>
            <w:r>
              <w:rPr>
                <w:rFonts w:ascii="Times New Roman" w:eastAsia="宋体" w:hAnsi="Times New Roman" w:cs="Times New Roman" w:hint="eastAsia"/>
                <w:color w:val="000000"/>
                <w:kern w:val="0"/>
                <w:sz w:val="18"/>
                <w:szCs w:val="18"/>
                <w14:ligatures w14:val="none"/>
              </w:rPr>
              <w:t xml:space="preserve"> </w:t>
            </w:r>
            <w:r w:rsidRPr="00EB51D5">
              <w:rPr>
                <w:rFonts w:ascii="Times New Roman" w:eastAsia="宋体" w:hAnsi="Times New Roman" w:cs="Times New Roman"/>
                <w:color w:val="000000"/>
                <w:kern w:val="0"/>
                <w:sz w:val="18"/>
                <w:szCs w:val="18"/>
                <w14:ligatures w14:val="none"/>
              </w:rPr>
              <w:t>(1,1,0)</w:t>
            </w:r>
          </w:p>
        </w:tc>
        <w:tc>
          <w:tcPr>
            <w:tcW w:w="691" w:type="pct"/>
            <w:shd w:val="clear" w:color="auto" w:fill="auto"/>
            <w:noWrap/>
            <w:vAlign w:val="center"/>
            <w:hideMark/>
          </w:tcPr>
          <w:p w14:paraId="405A396A"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592.86</w:t>
            </w:r>
          </w:p>
        </w:tc>
        <w:tc>
          <w:tcPr>
            <w:tcW w:w="691" w:type="pct"/>
            <w:shd w:val="clear" w:color="auto" w:fill="auto"/>
            <w:noWrap/>
            <w:vAlign w:val="center"/>
            <w:hideMark/>
          </w:tcPr>
          <w:p w14:paraId="60596163"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3514.8</w:t>
            </w:r>
          </w:p>
        </w:tc>
        <w:tc>
          <w:tcPr>
            <w:tcW w:w="639" w:type="pct"/>
            <w:shd w:val="clear" w:color="auto" w:fill="auto"/>
            <w:noWrap/>
            <w:vAlign w:val="center"/>
            <w:hideMark/>
          </w:tcPr>
          <w:p w14:paraId="5FF9F08C"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0.169</w:t>
            </w:r>
          </w:p>
        </w:tc>
      </w:tr>
      <w:tr w:rsidR="00EB51D5" w:rsidRPr="00EB51D5" w14:paraId="2D769237" w14:textId="77777777" w:rsidTr="00EB51D5">
        <w:trPr>
          <w:trHeight w:val="288"/>
        </w:trPr>
        <w:tc>
          <w:tcPr>
            <w:tcW w:w="603" w:type="pct"/>
            <w:shd w:val="clear" w:color="auto" w:fill="auto"/>
            <w:noWrap/>
            <w:vAlign w:val="center"/>
            <w:hideMark/>
          </w:tcPr>
          <w:p w14:paraId="72563F25"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22</w:t>
            </w:r>
          </w:p>
        </w:tc>
        <w:tc>
          <w:tcPr>
            <w:tcW w:w="603" w:type="pct"/>
            <w:shd w:val="clear" w:color="auto" w:fill="auto"/>
            <w:noWrap/>
            <w:vAlign w:val="center"/>
            <w:hideMark/>
          </w:tcPr>
          <w:p w14:paraId="71C175C2"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ROU</w:t>
            </w:r>
          </w:p>
        </w:tc>
        <w:tc>
          <w:tcPr>
            <w:tcW w:w="928" w:type="pct"/>
            <w:shd w:val="clear" w:color="auto" w:fill="auto"/>
            <w:noWrap/>
            <w:vAlign w:val="center"/>
            <w:hideMark/>
          </w:tcPr>
          <w:p w14:paraId="25CF957B"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Romania</w:t>
            </w:r>
          </w:p>
        </w:tc>
        <w:tc>
          <w:tcPr>
            <w:tcW w:w="842" w:type="pct"/>
            <w:shd w:val="clear" w:color="auto" w:fill="auto"/>
            <w:noWrap/>
            <w:vAlign w:val="center"/>
            <w:hideMark/>
          </w:tcPr>
          <w:p w14:paraId="27A648DB" w14:textId="57DF604A"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ARIMA</w:t>
            </w:r>
            <w:r>
              <w:rPr>
                <w:rFonts w:ascii="Times New Roman" w:eastAsia="宋体" w:hAnsi="Times New Roman" w:cs="Times New Roman" w:hint="eastAsia"/>
                <w:color w:val="000000"/>
                <w:kern w:val="0"/>
                <w:sz w:val="18"/>
                <w:szCs w:val="18"/>
                <w14:ligatures w14:val="none"/>
              </w:rPr>
              <w:t xml:space="preserve"> </w:t>
            </w:r>
            <w:r w:rsidRPr="00EB51D5">
              <w:rPr>
                <w:rFonts w:ascii="Times New Roman" w:eastAsia="宋体" w:hAnsi="Times New Roman" w:cs="Times New Roman"/>
                <w:color w:val="000000"/>
                <w:kern w:val="0"/>
                <w:sz w:val="18"/>
                <w:szCs w:val="18"/>
                <w14:ligatures w14:val="none"/>
              </w:rPr>
              <w:t>(0,1,0)</w:t>
            </w:r>
          </w:p>
        </w:tc>
        <w:tc>
          <w:tcPr>
            <w:tcW w:w="691" w:type="pct"/>
            <w:shd w:val="clear" w:color="auto" w:fill="auto"/>
            <w:noWrap/>
            <w:vAlign w:val="center"/>
            <w:hideMark/>
          </w:tcPr>
          <w:p w14:paraId="3145C3BD"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563.89</w:t>
            </w:r>
          </w:p>
        </w:tc>
        <w:tc>
          <w:tcPr>
            <w:tcW w:w="691" w:type="pct"/>
            <w:shd w:val="clear" w:color="auto" w:fill="auto"/>
            <w:noWrap/>
            <w:vAlign w:val="center"/>
            <w:hideMark/>
          </w:tcPr>
          <w:p w14:paraId="5C72FCC1"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4762.6</w:t>
            </w:r>
          </w:p>
        </w:tc>
        <w:tc>
          <w:tcPr>
            <w:tcW w:w="639" w:type="pct"/>
            <w:shd w:val="clear" w:color="auto" w:fill="auto"/>
            <w:noWrap/>
            <w:vAlign w:val="center"/>
            <w:hideMark/>
          </w:tcPr>
          <w:p w14:paraId="425762D0"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0.118</w:t>
            </w:r>
          </w:p>
        </w:tc>
      </w:tr>
      <w:tr w:rsidR="00EB51D5" w:rsidRPr="00EB51D5" w14:paraId="4014EFC9" w14:textId="77777777" w:rsidTr="00EB51D5">
        <w:trPr>
          <w:trHeight w:val="288"/>
        </w:trPr>
        <w:tc>
          <w:tcPr>
            <w:tcW w:w="603" w:type="pct"/>
            <w:shd w:val="clear" w:color="auto" w:fill="auto"/>
            <w:noWrap/>
            <w:vAlign w:val="center"/>
            <w:hideMark/>
          </w:tcPr>
          <w:p w14:paraId="38D41ADA"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23</w:t>
            </w:r>
          </w:p>
        </w:tc>
        <w:tc>
          <w:tcPr>
            <w:tcW w:w="603" w:type="pct"/>
            <w:shd w:val="clear" w:color="auto" w:fill="auto"/>
            <w:noWrap/>
            <w:vAlign w:val="center"/>
            <w:hideMark/>
          </w:tcPr>
          <w:p w14:paraId="3C16F2FD"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SVK</w:t>
            </w:r>
          </w:p>
        </w:tc>
        <w:tc>
          <w:tcPr>
            <w:tcW w:w="928" w:type="pct"/>
            <w:shd w:val="clear" w:color="auto" w:fill="auto"/>
            <w:noWrap/>
            <w:vAlign w:val="center"/>
            <w:hideMark/>
          </w:tcPr>
          <w:p w14:paraId="5774ACED"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Slovakia</w:t>
            </w:r>
          </w:p>
        </w:tc>
        <w:tc>
          <w:tcPr>
            <w:tcW w:w="842" w:type="pct"/>
            <w:shd w:val="clear" w:color="auto" w:fill="auto"/>
            <w:noWrap/>
            <w:vAlign w:val="center"/>
            <w:hideMark/>
          </w:tcPr>
          <w:p w14:paraId="321AD1D8" w14:textId="2F7DD811"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ARIMA</w:t>
            </w:r>
            <w:r>
              <w:rPr>
                <w:rFonts w:ascii="Times New Roman" w:eastAsia="宋体" w:hAnsi="Times New Roman" w:cs="Times New Roman" w:hint="eastAsia"/>
                <w:color w:val="000000"/>
                <w:kern w:val="0"/>
                <w:sz w:val="18"/>
                <w:szCs w:val="18"/>
                <w14:ligatures w14:val="none"/>
              </w:rPr>
              <w:t xml:space="preserve"> </w:t>
            </w:r>
            <w:r w:rsidRPr="00EB51D5">
              <w:rPr>
                <w:rFonts w:ascii="Times New Roman" w:eastAsia="宋体" w:hAnsi="Times New Roman" w:cs="Times New Roman"/>
                <w:color w:val="000000"/>
                <w:kern w:val="0"/>
                <w:sz w:val="18"/>
                <w:szCs w:val="18"/>
                <w14:ligatures w14:val="none"/>
              </w:rPr>
              <w:t>(0,1,1)</w:t>
            </w:r>
          </w:p>
        </w:tc>
        <w:tc>
          <w:tcPr>
            <w:tcW w:w="691" w:type="pct"/>
            <w:shd w:val="clear" w:color="auto" w:fill="auto"/>
            <w:noWrap/>
            <w:vAlign w:val="center"/>
            <w:hideMark/>
          </w:tcPr>
          <w:p w14:paraId="49F12BD4"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228.89</w:t>
            </w:r>
          </w:p>
        </w:tc>
        <w:tc>
          <w:tcPr>
            <w:tcW w:w="691" w:type="pct"/>
            <w:shd w:val="clear" w:color="auto" w:fill="auto"/>
            <w:noWrap/>
            <w:vAlign w:val="center"/>
            <w:hideMark/>
          </w:tcPr>
          <w:p w14:paraId="442B2E1F"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1575.7</w:t>
            </w:r>
          </w:p>
        </w:tc>
        <w:tc>
          <w:tcPr>
            <w:tcW w:w="639" w:type="pct"/>
            <w:shd w:val="clear" w:color="auto" w:fill="auto"/>
            <w:noWrap/>
            <w:vAlign w:val="center"/>
            <w:hideMark/>
          </w:tcPr>
          <w:p w14:paraId="47952764"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0.145</w:t>
            </w:r>
          </w:p>
        </w:tc>
      </w:tr>
      <w:tr w:rsidR="00EB51D5" w:rsidRPr="00EB51D5" w14:paraId="4F52F1D9" w14:textId="77777777" w:rsidTr="00EB51D5">
        <w:trPr>
          <w:trHeight w:val="288"/>
        </w:trPr>
        <w:tc>
          <w:tcPr>
            <w:tcW w:w="603" w:type="pct"/>
            <w:shd w:val="clear" w:color="auto" w:fill="auto"/>
            <w:noWrap/>
            <w:vAlign w:val="center"/>
            <w:hideMark/>
          </w:tcPr>
          <w:p w14:paraId="7E3FBE4B"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24</w:t>
            </w:r>
          </w:p>
        </w:tc>
        <w:tc>
          <w:tcPr>
            <w:tcW w:w="603" w:type="pct"/>
            <w:shd w:val="clear" w:color="auto" w:fill="auto"/>
            <w:noWrap/>
            <w:vAlign w:val="center"/>
            <w:hideMark/>
          </w:tcPr>
          <w:p w14:paraId="6E744000"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SVN</w:t>
            </w:r>
          </w:p>
        </w:tc>
        <w:tc>
          <w:tcPr>
            <w:tcW w:w="928" w:type="pct"/>
            <w:shd w:val="clear" w:color="auto" w:fill="auto"/>
            <w:noWrap/>
            <w:vAlign w:val="center"/>
            <w:hideMark/>
          </w:tcPr>
          <w:p w14:paraId="7CC82A78"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Slovenia</w:t>
            </w:r>
          </w:p>
        </w:tc>
        <w:tc>
          <w:tcPr>
            <w:tcW w:w="842" w:type="pct"/>
            <w:shd w:val="clear" w:color="auto" w:fill="auto"/>
            <w:noWrap/>
            <w:vAlign w:val="center"/>
            <w:hideMark/>
          </w:tcPr>
          <w:p w14:paraId="26124225" w14:textId="09D6CE35"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ARIMA</w:t>
            </w:r>
            <w:r>
              <w:rPr>
                <w:rFonts w:ascii="Times New Roman" w:eastAsia="宋体" w:hAnsi="Times New Roman" w:cs="Times New Roman" w:hint="eastAsia"/>
                <w:color w:val="000000"/>
                <w:kern w:val="0"/>
                <w:sz w:val="18"/>
                <w:szCs w:val="18"/>
                <w14:ligatures w14:val="none"/>
              </w:rPr>
              <w:t xml:space="preserve"> </w:t>
            </w:r>
            <w:r w:rsidRPr="00EB51D5">
              <w:rPr>
                <w:rFonts w:ascii="Times New Roman" w:eastAsia="宋体" w:hAnsi="Times New Roman" w:cs="Times New Roman"/>
                <w:color w:val="000000"/>
                <w:kern w:val="0"/>
                <w:sz w:val="18"/>
                <w:szCs w:val="18"/>
                <w14:ligatures w14:val="none"/>
              </w:rPr>
              <w:t>(1,1,0)</w:t>
            </w:r>
          </w:p>
        </w:tc>
        <w:tc>
          <w:tcPr>
            <w:tcW w:w="691" w:type="pct"/>
            <w:shd w:val="clear" w:color="auto" w:fill="auto"/>
            <w:noWrap/>
            <w:vAlign w:val="center"/>
            <w:hideMark/>
          </w:tcPr>
          <w:p w14:paraId="2580455B"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62.46</w:t>
            </w:r>
          </w:p>
        </w:tc>
        <w:tc>
          <w:tcPr>
            <w:tcW w:w="691" w:type="pct"/>
            <w:shd w:val="clear" w:color="auto" w:fill="auto"/>
            <w:noWrap/>
            <w:vAlign w:val="center"/>
            <w:hideMark/>
          </w:tcPr>
          <w:p w14:paraId="44F18B93"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489.6</w:t>
            </w:r>
          </w:p>
        </w:tc>
        <w:tc>
          <w:tcPr>
            <w:tcW w:w="639" w:type="pct"/>
            <w:shd w:val="clear" w:color="auto" w:fill="auto"/>
            <w:noWrap/>
            <w:vAlign w:val="center"/>
            <w:hideMark/>
          </w:tcPr>
          <w:p w14:paraId="0184663D"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0.128</w:t>
            </w:r>
          </w:p>
        </w:tc>
      </w:tr>
      <w:tr w:rsidR="00EB51D5" w:rsidRPr="00EB51D5" w14:paraId="6826E09D" w14:textId="77777777" w:rsidTr="00EB51D5">
        <w:trPr>
          <w:trHeight w:val="288"/>
        </w:trPr>
        <w:tc>
          <w:tcPr>
            <w:tcW w:w="603" w:type="pct"/>
            <w:shd w:val="clear" w:color="auto" w:fill="auto"/>
            <w:noWrap/>
            <w:vAlign w:val="center"/>
            <w:hideMark/>
          </w:tcPr>
          <w:p w14:paraId="3C14FACF"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25</w:t>
            </w:r>
          </w:p>
        </w:tc>
        <w:tc>
          <w:tcPr>
            <w:tcW w:w="603" w:type="pct"/>
            <w:shd w:val="clear" w:color="auto" w:fill="auto"/>
            <w:noWrap/>
            <w:vAlign w:val="center"/>
            <w:hideMark/>
          </w:tcPr>
          <w:p w14:paraId="0BE6A880"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ESP</w:t>
            </w:r>
          </w:p>
        </w:tc>
        <w:tc>
          <w:tcPr>
            <w:tcW w:w="928" w:type="pct"/>
            <w:shd w:val="clear" w:color="auto" w:fill="auto"/>
            <w:noWrap/>
            <w:vAlign w:val="center"/>
            <w:hideMark/>
          </w:tcPr>
          <w:p w14:paraId="2ADAED0D"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Spain</w:t>
            </w:r>
          </w:p>
        </w:tc>
        <w:tc>
          <w:tcPr>
            <w:tcW w:w="842" w:type="pct"/>
            <w:shd w:val="clear" w:color="auto" w:fill="auto"/>
            <w:noWrap/>
            <w:vAlign w:val="center"/>
            <w:hideMark/>
          </w:tcPr>
          <w:p w14:paraId="2BC4C831" w14:textId="10B18C6A"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ARIMA</w:t>
            </w:r>
            <w:r>
              <w:rPr>
                <w:rFonts w:ascii="Times New Roman" w:eastAsia="宋体" w:hAnsi="Times New Roman" w:cs="Times New Roman" w:hint="eastAsia"/>
                <w:color w:val="000000"/>
                <w:kern w:val="0"/>
                <w:sz w:val="18"/>
                <w:szCs w:val="18"/>
                <w14:ligatures w14:val="none"/>
              </w:rPr>
              <w:t xml:space="preserve"> </w:t>
            </w:r>
            <w:r w:rsidRPr="00EB51D5">
              <w:rPr>
                <w:rFonts w:ascii="Times New Roman" w:eastAsia="宋体" w:hAnsi="Times New Roman" w:cs="Times New Roman"/>
                <w:color w:val="000000"/>
                <w:kern w:val="0"/>
                <w:sz w:val="18"/>
                <w:szCs w:val="18"/>
                <w14:ligatures w14:val="none"/>
              </w:rPr>
              <w:t>(1,1,0)</w:t>
            </w:r>
          </w:p>
        </w:tc>
        <w:tc>
          <w:tcPr>
            <w:tcW w:w="691" w:type="pct"/>
            <w:shd w:val="clear" w:color="auto" w:fill="auto"/>
            <w:noWrap/>
            <w:vAlign w:val="center"/>
            <w:hideMark/>
          </w:tcPr>
          <w:p w14:paraId="3740C9AE"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1297.60</w:t>
            </w:r>
          </w:p>
        </w:tc>
        <w:tc>
          <w:tcPr>
            <w:tcW w:w="691" w:type="pct"/>
            <w:shd w:val="clear" w:color="auto" w:fill="auto"/>
            <w:noWrap/>
            <w:vAlign w:val="center"/>
            <w:hideMark/>
          </w:tcPr>
          <w:p w14:paraId="4B85F5CC"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13601.9</w:t>
            </w:r>
          </w:p>
        </w:tc>
        <w:tc>
          <w:tcPr>
            <w:tcW w:w="639" w:type="pct"/>
            <w:shd w:val="clear" w:color="auto" w:fill="auto"/>
            <w:noWrap/>
            <w:vAlign w:val="center"/>
            <w:hideMark/>
          </w:tcPr>
          <w:p w14:paraId="6D3367ED"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0.095</w:t>
            </w:r>
          </w:p>
        </w:tc>
      </w:tr>
      <w:tr w:rsidR="00EB51D5" w:rsidRPr="00EB51D5" w14:paraId="77C5CFC4" w14:textId="77777777" w:rsidTr="00EB51D5">
        <w:trPr>
          <w:trHeight w:val="288"/>
        </w:trPr>
        <w:tc>
          <w:tcPr>
            <w:tcW w:w="603" w:type="pct"/>
            <w:shd w:val="clear" w:color="auto" w:fill="auto"/>
            <w:noWrap/>
            <w:vAlign w:val="center"/>
            <w:hideMark/>
          </w:tcPr>
          <w:p w14:paraId="3683C811"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26</w:t>
            </w:r>
          </w:p>
        </w:tc>
        <w:tc>
          <w:tcPr>
            <w:tcW w:w="603" w:type="pct"/>
            <w:shd w:val="clear" w:color="auto" w:fill="auto"/>
            <w:noWrap/>
            <w:vAlign w:val="center"/>
            <w:hideMark/>
          </w:tcPr>
          <w:p w14:paraId="789F16A1"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SWE</w:t>
            </w:r>
          </w:p>
        </w:tc>
        <w:tc>
          <w:tcPr>
            <w:tcW w:w="928" w:type="pct"/>
            <w:shd w:val="clear" w:color="auto" w:fill="auto"/>
            <w:noWrap/>
            <w:vAlign w:val="center"/>
            <w:hideMark/>
          </w:tcPr>
          <w:p w14:paraId="0A341242"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Sweden</w:t>
            </w:r>
          </w:p>
        </w:tc>
        <w:tc>
          <w:tcPr>
            <w:tcW w:w="842" w:type="pct"/>
            <w:shd w:val="clear" w:color="auto" w:fill="auto"/>
            <w:noWrap/>
            <w:vAlign w:val="center"/>
            <w:hideMark/>
          </w:tcPr>
          <w:p w14:paraId="0AAD1385" w14:textId="06648B1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ARIMA</w:t>
            </w:r>
            <w:r>
              <w:rPr>
                <w:rFonts w:ascii="Times New Roman" w:eastAsia="宋体" w:hAnsi="Times New Roman" w:cs="Times New Roman" w:hint="eastAsia"/>
                <w:color w:val="000000"/>
                <w:kern w:val="0"/>
                <w:sz w:val="18"/>
                <w:szCs w:val="18"/>
                <w14:ligatures w14:val="none"/>
              </w:rPr>
              <w:t xml:space="preserve"> </w:t>
            </w:r>
            <w:r w:rsidRPr="00EB51D5">
              <w:rPr>
                <w:rFonts w:ascii="Times New Roman" w:eastAsia="宋体" w:hAnsi="Times New Roman" w:cs="Times New Roman"/>
                <w:color w:val="000000"/>
                <w:kern w:val="0"/>
                <w:sz w:val="18"/>
                <w:szCs w:val="18"/>
                <w14:ligatures w14:val="none"/>
              </w:rPr>
              <w:t>(0,1,0)</w:t>
            </w:r>
          </w:p>
        </w:tc>
        <w:tc>
          <w:tcPr>
            <w:tcW w:w="691" w:type="pct"/>
            <w:shd w:val="clear" w:color="auto" w:fill="auto"/>
            <w:noWrap/>
            <w:vAlign w:val="center"/>
            <w:hideMark/>
          </w:tcPr>
          <w:p w14:paraId="2CD288DE"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167.96</w:t>
            </w:r>
          </w:p>
        </w:tc>
        <w:tc>
          <w:tcPr>
            <w:tcW w:w="691" w:type="pct"/>
            <w:shd w:val="clear" w:color="auto" w:fill="auto"/>
            <w:noWrap/>
            <w:vAlign w:val="center"/>
            <w:hideMark/>
          </w:tcPr>
          <w:p w14:paraId="23D9854A"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927.1</w:t>
            </w:r>
          </w:p>
        </w:tc>
        <w:tc>
          <w:tcPr>
            <w:tcW w:w="639" w:type="pct"/>
            <w:shd w:val="clear" w:color="auto" w:fill="auto"/>
            <w:noWrap/>
            <w:vAlign w:val="center"/>
            <w:hideMark/>
          </w:tcPr>
          <w:p w14:paraId="6ADB3D26"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0.181</w:t>
            </w:r>
          </w:p>
        </w:tc>
      </w:tr>
      <w:tr w:rsidR="00EB51D5" w:rsidRPr="00EB51D5" w14:paraId="5C16FABB" w14:textId="77777777" w:rsidTr="00EB51D5">
        <w:trPr>
          <w:trHeight w:val="288"/>
        </w:trPr>
        <w:tc>
          <w:tcPr>
            <w:tcW w:w="603" w:type="pct"/>
            <w:shd w:val="clear" w:color="auto" w:fill="auto"/>
            <w:noWrap/>
            <w:vAlign w:val="center"/>
            <w:hideMark/>
          </w:tcPr>
          <w:p w14:paraId="7AC080DE"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27</w:t>
            </w:r>
          </w:p>
        </w:tc>
        <w:tc>
          <w:tcPr>
            <w:tcW w:w="603" w:type="pct"/>
            <w:shd w:val="clear" w:color="auto" w:fill="auto"/>
            <w:noWrap/>
            <w:vAlign w:val="center"/>
            <w:hideMark/>
          </w:tcPr>
          <w:p w14:paraId="461CCFCA"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CHE</w:t>
            </w:r>
          </w:p>
        </w:tc>
        <w:tc>
          <w:tcPr>
            <w:tcW w:w="928" w:type="pct"/>
            <w:shd w:val="clear" w:color="auto" w:fill="auto"/>
            <w:noWrap/>
            <w:vAlign w:val="center"/>
            <w:hideMark/>
          </w:tcPr>
          <w:p w14:paraId="5A5C5E0F"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Switzerland</w:t>
            </w:r>
          </w:p>
        </w:tc>
        <w:tc>
          <w:tcPr>
            <w:tcW w:w="842" w:type="pct"/>
            <w:shd w:val="clear" w:color="auto" w:fill="auto"/>
            <w:noWrap/>
            <w:vAlign w:val="center"/>
            <w:hideMark/>
          </w:tcPr>
          <w:p w14:paraId="249151F3" w14:textId="5A3896E5"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ARIMA</w:t>
            </w:r>
            <w:r>
              <w:rPr>
                <w:rFonts w:ascii="Times New Roman" w:eastAsia="宋体" w:hAnsi="Times New Roman" w:cs="Times New Roman" w:hint="eastAsia"/>
                <w:color w:val="000000"/>
                <w:kern w:val="0"/>
                <w:sz w:val="18"/>
                <w:szCs w:val="18"/>
                <w14:ligatures w14:val="none"/>
              </w:rPr>
              <w:t xml:space="preserve"> </w:t>
            </w:r>
            <w:r w:rsidRPr="00EB51D5">
              <w:rPr>
                <w:rFonts w:ascii="Times New Roman" w:eastAsia="宋体" w:hAnsi="Times New Roman" w:cs="Times New Roman"/>
                <w:color w:val="000000"/>
                <w:kern w:val="0"/>
                <w:sz w:val="18"/>
                <w:szCs w:val="18"/>
                <w14:ligatures w14:val="none"/>
              </w:rPr>
              <w:t>(1,1,0)</w:t>
            </w:r>
          </w:p>
        </w:tc>
        <w:tc>
          <w:tcPr>
            <w:tcW w:w="691" w:type="pct"/>
            <w:shd w:val="clear" w:color="auto" w:fill="auto"/>
            <w:noWrap/>
            <w:vAlign w:val="center"/>
            <w:hideMark/>
          </w:tcPr>
          <w:p w14:paraId="76018B59"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230.72</w:t>
            </w:r>
          </w:p>
        </w:tc>
        <w:tc>
          <w:tcPr>
            <w:tcW w:w="691" w:type="pct"/>
            <w:shd w:val="clear" w:color="auto" w:fill="auto"/>
            <w:noWrap/>
            <w:vAlign w:val="center"/>
            <w:hideMark/>
          </w:tcPr>
          <w:p w14:paraId="344BDEC0"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1650.4</w:t>
            </w:r>
          </w:p>
        </w:tc>
        <w:tc>
          <w:tcPr>
            <w:tcW w:w="639" w:type="pct"/>
            <w:shd w:val="clear" w:color="auto" w:fill="auto"/>
            <w:noWrap/>
            <w:vAlign w:val="center"/>
            <w:hideMark/>
          </w:tcPr>
          <w:p w14:paraId="5DAD4AAF"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0.140</w:t>
            </w:r>
          </w:p>
        </w:tc>
      </w:tr>
      <w:tr w:rsidR="00EB51D5" w:rsidRPr="00EB51D5" w14:paraId="212A47D0" w14:textId="77777777" w:rsidTr="00EB51D5">
        <w:trPr>
          <w:trHeight w:val="288"/>
        </w:trPr>
        <w:tc>
          <w:tcPr>
            <w:tcW w:w="603" w:type="pct"/>
            <w:shd w:val="clear" w:color="auto" w:fill="auto"/>
            <w:noWrap/>
            <w:vAlign w:val="center"/>
            <w:hideMark/>
          </w:tcPr>
          <w:p w14:paraId="789DCBFF"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28</w:t>
            </w:r>
          </w:p>
        </w:tc>
        <w:tc>
          <w:tcPr>
            <w:tcW w:w="603" w:type="pct"/>
            <w:shd w:val="clear" w:color="auto" w:fill="auto"/>
            <w:noWrap/>
            <w:vAlign w:val="center"/>
            <w:hideMark/>
          </w:tcPr>
          <w:p w14:paraId="58A7DD56"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GBR</w:t>
            </w:r>
          </w:p>
        </w:tc>
        <w:tc>
          <w:tcPr>
            <w:tcW w:w="928" w:type="pct"/>
            <w:shd w:val="clear" w:color="auto" w:fill="auto"/>
            <w:noWrap/>
            <w:vAlign w:val="center"/>
            <w:hideMark/>
          </w:tcPr>
          <w:p w14:paraId="3AE31511"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United Kingdom</w:t>
            </w:r>
          </w:p>
        </w:tc>
        <w:tc>
          <w:tcPr>
            <w:tcW w:w="842" w:type="pct"/>
            <w:shd w:val="clear" w:color="auto" w:fill="auto"/>
            <w:noWrap/>
            <w:vAlign w:val="center"/>
            <w:hideMark/>
          </w:tcPr>
          <w:p w14:paraId="34AC0B70" w14:textId="4801A91B"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ARIMA</w:t>
            </w:r>
            <w:r>
              <w:rPr>
                <w:rFonts w:ascii="Times New Roman" w:eastAsia="宋体" w:hAnsi="Times New Roman" w:cs="Times New Roman" w:hint="eastAsia"/>
                <w:color w:val="000000"/>
                <w:kern w:val="0"/>
                <w:sz w:val="18"/>
                <w:szCs w:val="18"/>
                <w14:ligatures w14:val="none"/>
              </w:rPr>
              <w:t xml:space="preserve"> </w:t>
            </w:r>
            <w:r w:rsidRPr="00EB51D5">
              <w:rPr>
                <w:rFonts w:ascii="Times New Roman" w:eastAsia="宋体" w:hAnsi="Times New Roman" w:cs="Times New Roman"/>
                <w:color w:val="000000"/>
                <w:kern w:val="0"/>
                <w:sz w:val="18"/>
                <w:szCs w:val="18"/>
                <w14:ligatures w14:val="none"/>
              </w:rPr>
              <w:t>(0,1,1)</w:t>
            </w:r>
          </w:p>
        </w:tc>
        <w:tc>
          <w:tcPr>
            <w:tcW w:w="691" w:type="pct"/>
            <w:shd w:val="clear" w:color="auto" w:fill="auto"/>
            <w:noWrap/>
            <w:vAlign w:val="center"/>
            <w:hideMark/>
          </w:tcPr>
          <w:p w14:paraId="473F8E7F"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784.47</w:t>
            </w:r>
          </w:p>
        </w:tc>
        <w:tc>
          <w:tcPr>
            <w:tcW w:w="691" w:type="pct"/>
            <w:shd w:val="clear" w:color="auto" w:fill="auto"/>
            <w:noWrap/>
            <w:vAlign w:val="center"/>
            <w:hideMark/>
          </w:tcPr>
          <w:p w14:paraId="6C4A6A90"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3841.1</w:t>
            </w:r>
          </w:p>
        </w:tc>
        <w:tc>
          <w:tcPr>
            <w:tcW w:w="639" w:type="pct"/>
            <w:shd w:val="clear" w:color="auto" w:fill="auto"/>
            <w:noWrap/>
            <w:vAlign w:val="center"/>
            <w:hideMark/>
          </w:tcPr>
          <w:p w14:paraId="7DE6FAA3"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0.204</w:t>
            </w:r>
          </w:p>
        </w:tc>
      </w:tr>
      <w:tr w:rsidR="00EB51D5" w:rsidRPr="00EB51D5" w14:paraId="74D2AACF" w14:textId="77777777" w:rsidTr="00EB51D5">
        <w:trPr>
          <w:trHeight w:val="288"/>
        </w:trPr>
        <w:tc>
          <w:tcPr>
            <w:tcW w:w="603" w:type="pct"/>
            <w:shd w:val="clear" w:color="auto" w:fill="auto"/>
            <w:noWrap/>
            <w:vAlign w:val="center"/>
            <w:hideMark/>
          </w:tcPr>
          <w:p w14:paraId="6E11AF22"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29</w:t>
            </w:r>
          </w:p>
        </w:tc>
        <w:tc>
          <w:tcPr>
            <w:tcW w:w="603" w:type="pct"/>
            <w:shd w:val="clear" w:color="auto" w:fill="auto"/>
            <w:noWrap/>
            <w:vAlign w:val="center"/>
            <w:hideMark/>
          </w:tcPr>
          <w:p w14:paraId="37788A83"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USA</w:t>
            </w:r>
          </w:p>
        </w:tc>
        <w:tc>
          <w:tcPr>
            <w:tcW w:w="928" w:type="pct"/>
            <w:shd w:val="clear" w:color="auto" w:fill="auto"/>
            <w:noWrap/>
            <w:vAlign w:val="center"/>
            <w:hideMark/>
          </w:tcPr>
          <w:p w14:paraId="26669171"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USA</w:t>
            </w:r>
          </w:p>
        </w:tc>
        <w:tc>
          <w:tcPr>
            <w:tcW w:w="842" w:type="pct"/>
            <w:shd w:val="clear" w:color="auto" w:fill="auto"/>
            <w:noWrap/>
            <w:vAlign w:val="center"/>
            <w:hideMark/>
          </w:tcPr>
          <w:p w14:paraId="47E66B53" w14:textId="02C14974"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ARIMA</w:t>
            </w:r>
            <w:r>
              <w:rPr>
                <w:rFonts w:ascii="Times New Roman" w:eastAsia="宋体" w:hAnsi="Times New Roman" w:cs="Times New Roman" w:hint="eastAsia"/>
                <w:color w:val="000000"/>
                <w:kern w:val="0"/>
                <w:sz w:val="18"/>
                <w:szCs w:val="18"/>
                <w14:ligatures w14:val="none"/>
              </w:rPr>
              <w:t xml:space="preserve"> </w:t>
            </w:r>
            <w:r w:rsidRPr="00EB51D5">
              <w:rPr>
                <w:rFonts w:ascii="Times New Roman" w:eastAsia="宋体" w:hAnsi="Times New Roman" w:cs="Times New Roman"/>
                <w:color w:val="000000"/>
                <w:kern w:val="0"/>
                <w:sz w:val="18"/>
                <w:szCs w:val="18"/>
                <w14:ligatures w14:val="none"/>
              </w:rPr>
              <w:t>(0,1,1)</w:t>
            </w:r>
          </w:p>
        </w:tc>
        <w:tc>
          <w:tcPr>
            <w:tcW w:w="691" w:type="pct"/>
            <w:shd w:val="clear" w:color="auto" w:fill="auto"/>
            <w:noWrap/>
            <w:vAlign w:val="center"/>
            <w:hideMark/>
          </w:tcPr>
          <w:p w14:paraId="6DB02FBC"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3591.85</w:t>
            </w:r>
          </w:p>
        </w:tc>
        <w:tc>
          <w:tcPr>
            <w:tcW w:w="691" w:type="pct"/>
            <w:shd w:val="clear" w:color="auto" w:fill="auto"/>
            <w:noWrap/>
            <w:vAlign w:val="center"/>
            <w:hideMark/>
          </w:tcPr>
          <w:p w14:paraId="1B241E4F"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24688.3</w:t>
            </w:r>
          </w:p>
        </w:tc>
        <w:tc>
          <w:tcPr>
            <w:tcW w:w="639" w:type="pct"/>
            <w:shd w:val="clear" w:color="auto" w:fill="auto"/>
            <w:noWrap/>
            <w:vAlign w:val="center"/>
            <w:hideMark/>
          </w:tcPr>
          <w:p w14:paraId="53AB7C76"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0.145</w:t>
            </w:r>
          </w:p>
        </w:tc>
      </w:tr>
      <w:tr w:rsidR="00EB51D5" w:rsidRPr="00EB51D5" w14:paraId="434DE0F9" w14:textId="77777777" w:rsidTr="00EB51D5">
        <w:trPr>
          <w:trHeight w:val="288"/>
        </w:trPr>
        <w:tc>
          <w:tcPr>
            <w:tcW w:w="603" w:type="pct"/>
            <w:shd w:val="clear" w:color="auto" w:fill="auto"/>
            <w:noWrap/>
            <w:vAlign w:val="center"/>
            <w:hideMark/>
          </w:tcPr>
          <w:p w14:paraId="50EFAF46"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30</w:t>
            </w:r>
          </w:p>
        </w:tc>
        <w:tc>
          <w:tcPr>
            <w:tcW w:w="603" w:type="pct"/>
            <w:shd w:val="clear" w:color="auto" w:fill="auto"/>
            <w:noWrap/>
            <w:vAlign w:val="center"/>
            <w:hideMark/>
          </w:tcPr>
          <w:p w14:paraId="1623F5CF"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MEX</w:t>
            </w:r>
          </w:p>
        </w:tc>
        <w:tc>
          <w:tcPr>
            <w:tcW w:w="928" w:type="pct"/>
            <w:shd w:val="clear" w:color="auto" w:fill="auto"/>
            <w:noWrap/>
            <w:vAlign w:val="center"/>
            <w:hideMark/>
          </w:tcPr>
          <w:p w14:paraId="7C99D6D2"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Mexico</w:t>
            </w:r>
          </w:p>
        </w:tc>
        <w:tc>
          <w:tcPr>
            <w:tcW w:w="842" w:type="pct"/>
            <w:shd w:val="clear" w:color="auto" w:fill="auto"/>
            <w:noWrap/>
            <w:vAlign w:val="center"/>
            <w:hideMark/>
          </w:tcPr>
          <w:p w14:paraId="34D32136" w14:textId="4C2B960C"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ARIMA</w:t>
            </w:r>
            <w:r>
              <w:rPr>
                <w:rFonts w:ascii="Times New Roman" w:eastAsia="宋体" w:hAnsi="Times New Roman" w:cs="Times New Roman" w:hint="eastAsia"/>
                <w:color w:val="000000"/>
                <w:kern w:val="0"/>
                <w:sz w:val="18"/>
                <w:szCs w:val="18"/>
                <w14:ligatures w14:val="none"/>
              </w:rPr>
              <w:t xml:space="preserve"> </w:t>
            </w:r>
            <w:r w:rsidRPr="00EB51D5">
              <w:rPr>
                <w:rFonts w:ascii="Times New Roman" w:eastAsia="宋体" w:hAnsi="Times New Roman" w:cs="Times New Roman"/>
                <w:color w:val="000000"/>
                <w:kern w:val="0"/>
                <w:sz w:val="18"/>
                <w:szCs w:val="18"/>
                <w14:ligatures w14:val="none"/>
              </w:rPr>
              <w:t>(0,1,1)</w:t>
            </w:r>
          </w:p>
        </w:tc>
        <w:tc>
          <w:tcPr>
            <w:tcW w:w="691" w:type="pct"/>
            <w:shd w:val="clear" w:color="auto" w:fill="auto"/>
            <w:noWrap/>
            <w:vAlign w:val="center"/>
            <w:hideMark/>
          </w:tcPr>
          <w:p w14:paraId="22ADF640"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1047.13</w:t>
            </w:r>
          </w:p>
        </w:tc>
        <w:tc>
          <w:tcPr>
            <w:tcW w:w="691" w:type="pct"/>
            <w:shd w:val="clear" w:color="auto" w:fill="auto"/>
            <w:noWrap/>
            <w:vAlign w:val="center"/>
            <w:hideMark/>
          </w:tcPr>
          <w:p w14:paraId="06CCC2BB"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15544.8</w:t>
            </w:r>
          </w:p>
        </w:tc>
        <w:tc>
          <w:tcPr>
            <w:tcW w:w="639" w:type="pct"/>
            <w:shd w:val="clear" w:color="auto" w:fill="auto"/>
            <w:noWrap/>
            <w:vAlign w:val="center"/>
            <w:hideMark/>
          </w:tcPr>
          <w:p w14:paraId="78572C5D"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0.067</w:t>
            </w:r>
          </w:p>
        </w:tc>
      </w:tr>
      <w:tr w:rsidR="00EB51D5" w:rsidRPr="00EB51D5" w14:paraId="31CC7200" w14:textId="77777777" w:rsidTr="00EB51D5">
        <w:trPr>
          <w:trHeight w:val="288"/>
        </w:trPr>
        <w:tc>
          <w:tcPr>
            <w:tcW w:w="603" w:type="pct"/>
            <w:shd w:val="clear" w:color="auto" w:fill="auto"/>
            <w:noWrap/>
            <w:vAlign w:val="center"/>
            <w:hideMark/>
          </w:tcPr>
          <w:p w14:paraId="1DBC8D98"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lastRenderedPageBreak/>
              <w:t>31</w:t>
            </w:r>
          </w:p>
        </w:tc>
        <w:tc>
          <w:tcPr>
            <w:tcW w:w="603" w:type="pct"/>
            <w:shd w:val="clear" w:color="auto" w:fill="auto"/>
            <w:noWrap/>
            <w:vAlign w:val="center"/>
            <w:hideMark/>
          </w:tcPr>
          <w:p w14:paraId="6590D197"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BRA</w:t>
            </w:r>
          </w:p>
        </w:tc>
        <w:tc>
          <w:tcPr>
            <w:tcW w:w="928" w:type="pct"/>
            <w:shd w:val="clear" w:color="auto" w:fill="auto"/>
            <w:noWrap/>
            <w:vAlign w:val="center"/>
            <w:hideMark/>
          </w:tcPr>
          <w:p w14:paraId="7FC571BB"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Brazil</w:t>
            </w:r>
          </w:p>
        </w:tc>
        <w:tc>
          <w:tcPr>
            <w:tcW w:w="842" w:type="pct"/>
            <w:shd w:val="clear" w:color="auto" w:fill="auto"/>
            <w:noWrap/>
            <w:vAlign w:val="center"/>
            <w:hideMark/>
          </w:tcPr>
          <w:p w14:paraId="54A91801" w14:textId="3F2818F6"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ARIMA</w:t>
            </w:r>
            <w:r>
              <w:rPr>
                <w:rFonts w:ascii="Times New Roman" w:eastAsia="宋体" w:hAnsi="Times New Roman" w:cs="Times New Roman" w:hint="eastAsia"/>
                <w:color w:val="000000"/>
                <w:kern w:val="0"/>
                <w:sz w:val="18"/>
                <w:szCs w:val="18"/>
                <w14:ligatures w14:val="none"/>
              </w:rPr>
              <w:t xml:space="preserve"> </w:t>
            </w:r>
            <w:r w:rsidRPr="00EB51D5">
              <w:rPr>
                <w:rFonts w:ascii="Times New Roman" w:eastAsia="宋体" w:hAnsi="Times New Roman" w:cs="Times New Roman"/>
                <w:color w:val="000000"/>
                <w:kern w:val="0"/>
                <w:sz w:val="18"/>
                <w:szCs w:val="18"/>
                <w14:ligatures w14:val="none"/>
              </w:rPr>
              <w:t>(4,1,0)</w:t>
            </w:r>
          </w:p>
        </w:tc>
        <w:tc>
          <w:tcPr>
            <w:tcW w:w="691" w:type="pct"/>
            <w:shd w:val="clear" w:color="auto" w:fill="auto"/>
            <w:noWrap/>
            <w:vAlign w:val="center"/>
            <w:hideMark/>
          </w:tcPr>
          <w:p w14:paraId="760ACEFA"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1405.55</w:t>
            </w:r>
          </w:p>
        </w:tc>
        <w:tc>
          <w:tcPr>
            <w:tcW w:w="691" w:type="pct"/>
            <w:shd w:val="clear" w:color="auto" w:fill="auto"/>
            <w:noWrap/>
            <w:vAlign w:val="center"/>
            <w:hideMark/>
          </w:tcPr>
          <w:p w14:paraId="17B34D40"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21850.8</w:t>
            </w:r>
          </w:p>
        </w:tc>
        <w:tc>
          <w:tcPr>
            <w:tcW w:w="639" w:type="pct"/>
            <w:shd w:val="clear" w:color="auto" w:fill="auto"/>
            <w:noWrap/>
            <w:vAlign w:val="center"/>
            <w:hideMark/>
          </w:tcPr>
          <w:p w14:paraId="54A7509D"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0.064</w:t>
            </w:r>
          </w:p>
        </w:tc>
      </w:tr>
      <w:tr w:rsidR="00EB51D5" w:rsidRPr="00EB51D5" w14:paraId="6D5CC35C" w14:textId="77777777" w:rsidTr="00EB51D5">
        <w:trPr>
          <w:trHeight w:val="288"/>
        </w:trPr>
        <w:tc>
          <w:tcPr>
            <w:tcW w:w="603" w:type="pct"/>
            <w:shd w:val="clear" w:color="auto" w:fill="auto"/>
            <w:noWrap/>
            <w:vAlign w:val="center"/>
            <w:hideMark/>
          </w:tcPr>
          <w:p w14:paraId="0B3E311C"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32</w:t>
            </w:r>
          </w:p>
        </w:tc>
        <w:tc>
          <w:tcPr>
            <w:tcW w:w="603" w:type="pct"/>
            <w:shd w:val="clear" w:color="auto" w:fill="auto"/>
            <w:noWrap/>
            <w:vAlign w:val="center"/>
            <w:hideMark/>
          </w:tcPr>
          <w:p w14:paraId="6BEEC11B"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EGY</w:t>
            </w:r>
          </w:p>
        </w:tc>
        <w:tc>
          <w:tcPr>
            <w:tcW w:w="928" w:type="pct"/>
            <w:shd w:val="clear" w:color="auto" w:fill="auto"/>
            <w:noWrap/>
            <w:vAlign w:val="center"/>
            <w:hideMark/>
          </w:tcPr>
          <w:p w14:paraId="41732304"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Egypt</w:t>
            </w:r>
          </w:p>
        </w:tc>
        <w:tc>
          <w:tcPr>
            <w:tcW w:w="842" w:type="pct"/>
            <w:shd w:val="clear" w:color="auto" w:fill="auto"/>
            <w:noWrap/>
            <w:vAlign w:val="center"/>
            <w:hideMark/>
          </w:tcPr>
          <w:p w14:paraId="7913342E" w14:textId="0052749B"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ARIMA</w:t>
            </w:r>
            <w:r>
              <w:rPr>
                <w:rFonts w:ascii="Times New Roman" w:eastAsia="宋体" w:hAnsi="Times New Roman" w:cs="Times New Roman" w:hint="eastAsia"/>
                <w:color w:val="000000"/>
                <w:kern w:val="0"/>
                <w:sz w:val="18"/>
                <w:szCs w:val="18"/>
                <w14:ligatures w14:val="none"/>
              </w:rPr>
              <w:t xml:space="preserve"> </w:t>
            </w:r>
            <w:r w:rsidRPr="00EB51D5">
              <w:rPr>
                <w:rFonts w:ascii="Times New Roman" w:eastAsia="宋体" w:hAnsi="Times New Roman" w:cs="Times New Roman"/>
                <w:color w:val="000000"/>
                <w:kern w:val="0"/>
                <w:sz w:val="18"/>
                <w:szCs w:val="18"/>
                <w14:ligatures w14:val="none"/>
              </w:rPr>
              <w:t>(3,2,1)</w:t>
            </w:r>
          </w:p>
        </w:tc>
        <w:tc>
          <w:tcPr>
            <w:tcW w:w="691" w:type="pct"/>
            <w:shd w:val="clear" w:color="auto" w:fill="auto"/>
            <w:noWrap/>
            <w:vAlign w:val="center"/>
            <w:hideMark/>
          </w:tcPr>
          <w:p w14:paraId="70C5BFD8"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1198.08</w:t>
            </w:r>
          </w:p>
        </w:tc>
        <w:tc>
          <w:tcPr>
            <w:tcW w:w="691" w:type="pct"/>
            <w:shd w:val="clear" w:color="auto" w:fill="auto"/>
            <w:noWrap/>
            <w:vAlign w:val="center"/>
            <w:hideMark/>
          </w:tcPr>
          <w:p w14:paraId="6D5DBA7A"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18044.4</w:t>
            </w:r>
          </w:p>
        </w:tc>
        <w:tc>
          <w:tcPr>
            <w:tcW w:w="639" w:type="pct"/>
            <w:shd w:val="clear" w:color="auto" w:fill="auto"/>
            <w:noWrap/>
            <w:vAlign w:val="center"/>
            <w:hideMark/>
          </w:tcPr>
          <w:p w14:paraId="3FC7C1A6"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0.066</w:t>
            </w:r>
          </w:p>
        </w:tc>
      </w:tr>
      <w:tr w:rsidR="00EB51D5" w:rsidRPr="00EB51D5" w14:paraId="282ED061" w14:textId="77777777" w:rsidTr="00EB51D5">
        <w:trPr>
          <w:trHeight w:val="288"/>
        </w:trPr>
        <w:tc>
          <w:tcPr>
            <w:tcW w:w="603" w:type="pct"/>
            <w:shd w:val="clear" w:color="auto" w:fill="auto"/>
            <w:noWrap/>
            <w:vAlign w:val="center"/>
            <w:hideMark/>
          </w:tcPr>
          <w:p w14:paraId="1ABF9A42"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33</w:t>
            </w:r>
          </w:p>
        </w:tc>
        <w:tc>
          <w:tcPr>
            <w:tcW w:w="603" w:type="pct"/>
            <w:shd w:val="clear" w:color="auto" w:fill="auto"/>
            <w:noWrap/>
            <w:vAlign w:val="center"/>
            <w:hideMark/>
          </w:tcPr>
          <w:p w14:paraId="438D96F1"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TUR</w:t>
            </w:r>
          </w:p>
        </w:tc>
        <w:tc>
          <w:tcPr>
            <w:tcW w:w="928" w:type="pct"/>
            <w:shd w:val="clear" w:color="auto" w:fill="auto"/>
            <w:noWrap/>
            <w:vAlign w:val="center"/>
            <w:hideMark/>
          </w:tcPr>
          <w:p w14:paraId="29E46189"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Turkey</w:t>
            </w:r>
          </w:p>
        </w:tc>
        <w:tc>
          <w:tcPr>
            <w:tcW w:w="842" w:type="pct"/>
            <w:shd w:val="clear" w:color="auto" w:fill="auto"/>
            <w:noWrap/>
            <w:vAlign w:val="center"/>
            <w:hideMark/>
          </w:tcPr>
          <w:p w14:paraId="397E9146" w14:textId="76500C9C"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ARIMA</w:t>
            </w:r>
            <w:r>
              <w:rPr>
                <w:rFonts w:ascii="Times New Roman" w:eastAsia="宋体" w:hAnsi="Times New Roman" w:cs="Times New Roman" w:hint="eastAsia"/>
                <w:color w:val="000000"/>
                <w:kern w:val="0"/>
                <w:sz w:val="18"/>
                <w:szCs w:val="18"/>
                <w14:ligatures w14:val="none"/>
              </w:rPr>
              <w:t xml:space="preserve"> </w:t>
            </w:r>
            <w:r w:rsidRPr="00EB51D5">
              <w:rPr>
                <w:rFonts w:ascii="Times New Roman" w:eastAsia="宋体" w:hAnsi="Times New Roman" w:cs="Times New Roman"/>
                <w:color w:val="000000"/>
                <w:kern w:val="0"/>
                <w:sz w:val="18"/>
                <w:szCs w:val="18"/>
                <w14:ligatures w14:val="none"/>
              </w:rPr>
              <w:t>(2,2,2)</w:t>
            </w:r>
          </w:p>
        </w:tc>
        <w:tc>
          <w:tcPr>
            <w:tcW w:w="691" w:type="pct"/>
            <w:shd w:val="clear" w:color="auto" w:fill="auto"/>
            <w:noWrap/>
            <w:vAlign w:val="center"/>
            <w:hideMark/>
          </w:tcPr>
          <w:p w14:paraId="4797EF5D"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1764.20</w:t>
            </w:r>
          </w:p>
        </w:tc>
        <w:tc>
          <w:tcPr>
            <w:tcW w:w="691" w:type="pct"/>
            <w:shd w:val="clear" w:color="auto" w:fill="auto"/>
            <w:noWrap/>
            <w:vAlign w:val="center"/>
            <w:hideMark/>
          </w:tcPr>
          <w:p w14:paraId="2AC6A0D2"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25147.4</w:t>
            </w:r>
          </w:p>
        </w:tc>
        <w:tc>
          <w:tcPr>
            <w:tcW w:w="639" w:type="pct"/>
            <w:shd w:val="clear" w:color="auto" w:fill="auto"/>
            <w:noWrap/>
            <w:vAlign w:val="center"/>
            <w:hideMark/>
          </w:tcPr>
          <w:p w14:paraId="2114708F"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0.070</w:t>
            </w:r>
          </w:p>
        </w:tc>
      </w:tr>
      <w:tr w:rsidR="00EB51D5" w:rsidRPr="00EB51D5" w14:paraId="6100F7CF" w14:textId="77777777" w:rsidTr="00EB51D5">
        <w:trPr>
          <w:trHeight w:val="288"/>
        </w:trPr>
        <w:tc>
          <w:tcPr>
            <w:tcW w:w="603" w:type="pct"/>
            <w:shd w:val="clear" w:color="auto" w:fill="auto"/>
            <w:noWrap/>
            <w:vAlign w:val="center"/>
            <w:hideMark/>
          </w:tcPr>
          <w:p w14:paraId="26FCD615"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34</w:t>
            </w:r>
          </w:p>
        </w:tc>
        <w:tc>
          <w:tcPr>
            <w:tcW w:w="603" w:type="pct"/>
            <w:shd w:val="clear" w:color="auto" w:fill="auto"/>
            <w:noWrap/>
            <w:vAlign w:val="center"/>
            <w:hideMark/>
          </w:tcPr>
          <w:p w14:paraId="4CADA9FC"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IRN</w:t>
            </w:r>
          </w:p>
        </w:tc>
        <w:tc>
          <w:tcPr>
            <w:tcW w:w="928" w:type="pct"/>
            <w:shd w:val="clear" w:color="auto" w:fill="auto"/>
            <w:noWrap/>
            <w:vAlign w:val="center"/>
            <w:hideMark/>
          </w:tcPr>
          <w:p w14:paraId="3D5F17E4"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Iran</w:t>
            </w:r>
          </w:p>
        </w:tc>
        <w:tc>
          <w:tcPr>
            <w:tcW w:w="842" w:type="pct"/>
            <w:shd w:val="clear" w:color="auto" w:fill="auto"/>
            <w:noWrap/>
            <w:vAlign w:val="center"/>
            <w:hideMark/>
          </w:tcPr>
          <w:p w14:paraId="04245C86" w14:textId="7800C69D"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ARIMA</w:t>
            </w:r>
            <w:r>
              <w:rPr>
                <w:rFonts w:ascii="Times New Roman" w:eastAsia="宋体" w:hAnsi="Times New Roman" w:cs="Times New Roman" w:hint="eastAsia"/>
                <w:color w:val="000000"/>
                <w:kern w:val="0"/>
                <w:sz w:val="18"/>
                <w:szCs w:val="18"/>
                <w14:ligatures w14:val="none"/>
              </w:rPr>
              <w:t xml:space="preserve"> </w:t>
            </w:r>
            <w:r w:rsidRPr="00EB51D5">
              <w:rPr>
                <w:rFonts w:ascii="Times New Roman" w:eastAsia="宋体" w:hAnsi="Times New Roman" w:cs="Times New Roman"/>
                <w:color w:val="000000"/>
                <w:kern w:val="0"/>
                <w:sz w:val="18"/>
                <w:szCs w:val="18"/>
                <w14:ligatures w14:val="none"/>
              </w:rPr>
              <w:t>(1,1,0)</w:t>
            </w:r>
          </w:p>
        </w:tc>
        <w:tc>
          <w:tcPr>
            <w:tcW w:w="691" w:type="pct"/>
            <w:shd w:val="clear" w:color="auto" w:fill="auto"/>
            <w:noWrap/>
            <w:vAlign w:val="center"/>
            <w:hideMark/>
          </w:tcPr>
          <w:p w14:paraId="01FE3A3B"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1319.29</w:t>
            </w:r>
          </w:p>
        </w:tc>
        <w:tc>
          <w:tcPr>
            <w:tcW w:w="691" w:type="pct"/>
            <w:shd w:val="clear" w:color="auto" w:fill="auto"/>
            <w:noWrap/>
            <w:vAlign w:val="center"/>
            <w:hideMark/>
          </w:tcPr>
          <w:p w14:paraId="110C89BB"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21925.7</w:t>
            </w:r>
          </w:p>
        </w:tc>
        <w:tc>
          <w:tcPr>
            <w:tcW w:w="639" w:type="pct"/>
            <w:shd w:val="clear" w:color="auto" w:fill="auto"/>
            <w:noWrap/>
            <w:vAlign w:val="center"/>
            <w:hideMark/>
          </w:tcPr>
          <w:p w14:paraId="290C896E"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0.060</w:t>
            </w:r>
          </w:p>
        </w:tc>
      </w:tr>
      <w:tr w:rsidR="00EB51D5" w:rsidRPr="00EB51D5" w14:paraId="21F3E994" w14:textId="77777777" w:rsidTr="00EB51D5">
        <w:trPr>
          <w:trHeight w:val="288"/>
        </w:trPr>
        <w:tc>
          <w:tcPr>
            <w:tcW w:w="603" w:type="pct"/>
            <w:shd w:val="clear" w:color="auto" w:fill="auto"/>
            <w:noWrap/>
            <w:vAlign w:val="center"/>
            <w:hideMark/>
          </w:tcPr>
          <w:p w14:paraId="7D2F9889"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35</w:t>
            </w:r>
          </w:p>
        </w:tc>
        <w:tc>
          <w:tcPr>
            <w:tcW w:w="603" w:type="pct"/>
            <w:shd w:val="clear" w:color="auto" w:fill="auto"/>
            <w:noWrap/>
            <w:vAlign w:val="center"/>
            <w:hideMark/>
          </w:tcPr>
          <w:p w14:paraId="25FBC5E5"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SAU</w:t>
            </w:r>
          </w:p>
        </w:tc>
        <w:tc>
          <w:tcPr>
            <w:tcW w:w="928" w:type="pct"/>
            <w:shd w:val="clear" w:color="auto" w:fill="auto"/>
            <w:noWrap/>
            <w:vAlign w:val="center"/>
            <w:hideMark/>
          </w:tcPr>
          <w:p w14:paraId="46E39B10"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Saudi Arabia</w:t>
            </w:r>
          </w:p>
        </w:tc>
        <w:tc>
          <w:tcPr>
            <w:tcW w:w="842" w:type="pct"/>
            <w:shd w:val="clear" w:color="auto" w:fill="auto"/>
            <w:noWrap/>
            <w:vAlign w:val="center"/>
            <w:hideMark/>
          </w:tcPr>
          <w:p w14:paraId="24C0897C" w14:textId="50D06CB2"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ARIMA</w:t>
            </w:r>
            <w:r>
              <w:rPr>
                <w:rFonts w:ascii="Times New Roman" w:eastAsia="宋体" w:hAnsi="Times New Roman" w:cs="Times New Roman" w:hint="eastAsia"/>
                <w:color w:val="000000"/>
                <w:kern w:val="0"/>
                <w:sz w:val="18"/>
                <w:szCs w:val="18"/>
                <w14:ligatures w14:val="none"/>
              </w:rPr>
              <w:t xml:space="preserve"> </w:t>
            </w:r>
            <w:r w:rsidRPr="00EB51D5">
              <w:rPr>
                <w:rFonts w:ascii="Times New Roman" w:eastAsia="宋体" w:hAnsi="Times New Roman" w:cs="Times New Roman"/>
                <w:color w:val="000000"/>
                <w:kern w:val="0"/>
                <w:sz w:val="18"/>
                <w:szCs w:val="18"/>
                <w14:ligatures w14:val="none"/>
              </w:rPr>
              <w:t>(2,1,3)</w:t>
            </w:r>
          </w:p>
        </w:tc>
        <w:tc>
          <w:tcPr>
            <w:tcW w:w="691" w:type="pct"/>
            <w:shd w:val="clear" w:color="auto" w:fill="auto"/>
            <w:noWrap/>
            <w:vAlign w:val="center"/>
            <w:hideMark/>
          </w:tcPr>
          <w:p w14:paraId="09671744"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1137.73</w:t>
            </w:r>
          </w:p>
        </w:tc>
        <w:tc>
          <w:tcPr>
            <w:tcW w:w="691" w:type="pct"/>
            <w:shd w:val="clear" w:color="auto" w:fill="auto"/>
            <w:noWrap/>
            <w:vAlign w:val="center"/>
            <w:hideMark/>
          </w:tcPr>
          <w:p w14:paraId="52F44E8A"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18218.0</w:t>
            </w:r>
          </w:p>
        </w:tc>
        <w:tc>
          <w:tcPr>
            <w:tcW w:w="639" w:type="pct"/>
            <w:shd w:val="clear" w:color="auto" w:fill="auto"/>
            <w:noWrap/>
            <w:vAlign w:val="center"/>
            <w:hideMark/>
          </w:tcPr>
          <w:p w14:paraId="0175DEE0"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0.062</w:t>
            </w:r>
          </w:p>
        </w:tc>
      </w:tr>
      <w:tr w:rsidR="00EB51D5" w:rsidRPr="00EB51D5" w14:paraId="5479C86E" w14:textId="77777777" w:rsidTr="00EB51D5">
        <w:trPr>
          <w:trHeight w:val="288"/>
        </w:trPr>
        <w:tc>
          <w:tcPr>
            <w:tcW w:w="603" w:type="pct"/>
            <w:shd w:val="clear" w:color="auto" w:fill="auto"/>
            <w:noWrap/>
            <w:vAlign w:val="center"/>
            <w:hideMark/>
          </w:tcPr>
          <w:p w14:paraId="2554A112"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36</w:t>
            </w:r>
          </w:p>
        </w:tc>
        <w:tc>
          <w:tcPr>
            <w:tcW w:w="603" w:type="pct"/>
            <w:shd w:val="clear" w:color="auto" w:fill="auto"/>
            <w:noWrap/>
            <w:vAlign w:val="center"/>
            <w:hideMark/>
          </w:tcPr>
          <w:p w14:paraId="3AB3E766"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IND</w:t>
            </w:r>
          </w:p>
        </w:tc>
        <w:tc>
          <w:tcPr>
            <w:tcW w:w="928" w:type="pct"/>
            <w:shd w:val="clear" w:color="auto" w:fill="auto"/>
            <w:noWrap/>
            <w:vAlign w:val="center"/>
            <w:hideMark/>
          </w:tcPr>
          <w:p w14:paraId="22C10A90"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India</w:t>
            </w:r>
          </w:p>
        </w:tc>
        <w:tc>
          <w:tcPr>
            <w:tcW w:w="842" w:type="pct"/>
            <w:shd w:val="clear" w:color="auto" w:fill="auto"/>
            <w:noWrap/>
            <w:vAlign w:val="center"/>
            <w:hideMark/>
          </w:tcPr>
          <w:p w14:paraId="62BEF1A7" w14:textId="66E6C5A6"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ARIMA</w:t>
            </w:r>
            <w:r>
              <w:rPr>
                <w:rFonts w:ascii="Times New Roman" w:eastAsia="宋体" w:hAnsi="Times New Roman" w:cs="Times New Roman" w:hint="eastAsia"/>
                <w:color w:val="000000"/>
                <w:kern w:val="0"/>
                <w:sz w:val="18"/>
                <w:szCs w:val="18"/>
                <w14:ligatures w14:val="none"/>
              </w:rPr>
              <w:t xml:space="preserve"> </w:t>
            </w:r>
            <w:r w:rsidRPr="00EB51D5">
              <w:rPr>
                <w:rFonts w:ascii="Times New Roman" w:eastAsia="宋体" w:hAnsi="Times New Roman" w:cs="Times New Roman"/>
                <w:color w:val="000000"/>
                <w:kern w:val="0"/>
                <w:sz w:val="18"/>
                <w:szCs w:val="18"/>
                <w14:ligatures w14:val="none"/>
              </w:rPr>
              <w:t>(0,2,1)</w:t>
            </w:r>
          </w:p>
        </w:tc>
        <w:tc>
          <w:tcPr>
            <w:tcW w:w="691" w:type="pct"/>
            <w:shd w:val="clear" w:color="auto" w:fill="auto"/>
            <w:noWrap/>
            <w:vAlign w:val="center"/>
            <w:hideMark/>
          </w:tcPr>
          <w:p w14:paraId="52498E7A"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3749.43</w:t>
            </w:r>
          </w:p>
        </w:tc>
        <w:tc>
          <w:tcPr>
            <w:tcW w:w="691" w:type="pct"/>
            <w:shd w:val="clear" w:color="auto" w:fill="auto"/>
            <w:noWrap/>
            <w:vAlign w:val="center"/>
            <w:hideMark/>
          </w:tcPr>
          <w:p w14:paraId="6AEBACFE"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105504.2</w:t>
            </w:r>
          </w:p>
        </w:tc>
        <w:tc>
          <w:tcPr>
            <w:tcW w:w="639" w:type="pct"/>
            <w:shd w:val="clear" w:color="auto" w:fill="auto"/>
            <w:noWrap/>
            <w:vAlign w:val="center"/>
            <w:hideMark/>
          </w:tcPr>
          <w:p w14:paraId="6E5881D5"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0.036</w:t>
            </w:r>
          </w:p>
        </w:tc>
      </w:tr>
      <w:tr w:rsidR="00EB51D5" w:rsidRPr="00EB51D5" w14:paraId="31028376" w14:textId="77777777" w:rsidTr="00EB51D5">
        <w:trPr>
          <w:trHeight w:val="288"/>
        </w:trPr>
        <w:tc>
          <w:tcPr>
            <w:tcW w:w="603" w:type="pct"/>
            <w:shd w:val="clear" w:color="auto" w:fill="auto"/>
            <w:noWrap/>
            <w:vAlign w:val="center"/>
            <w:hideMark/>
          </w:tcPr>
          <w:p w14:paraId="5F0B0E22"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37</w:t>
            </w:r>
          </w:p>
        </w:tc>
        <w:tc>
          <w:tcPr>
            <w:tcW w:w="603" w:type="pct"/>
            <w:shd w:val="clear" w:color="auto" w:fill="auto"/>
            <w:noWrap/>
            <w:vAlign w:val="center"/>
            <w:hideMark/>
          </w:tcPr>
          <w:p w14:paraId="462A16F4"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CHN</w:t>
            </w:r>
          </w:p>
        </w:tc>
        <w:tc>
          <w:tcPr>
            <w:tcW w:w="928" w:type="pct"/>
            <w:shd w:val="clear" w:color="auto" w:fill="auto"/>
            <w:noWrap/>
            <w:vAlign w:val="center"/>
            <w:hideMark/>
          </w:tcPr>
          <w:p w14:paraId="57BF57FF"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China</w:t>
            </w:r>
          </w:p>
        </w:tc>
        <w:tc>
          <w:tcPr>
            <w:tcW w:w="842" w:type="pct"/>
            <w:shd w:val="clear" w:color="auto" w:fill="auto"/>
            <w:noWrap/>
            <w:vAlign w:val="center"/>
            <w:hideMark/>
          </w:tcPr>
          <w:p w14:paraId="629FA4CE" w14:textId="3E395B1B"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ARIMA</w:t>
            </w:r>
            <w:r>
              <w:rPr>
                <w:rFonts w:ascii="Times New Roman" w:eastAsia="宋体" w:hAnsi="Times New Roman" w:cs="Times New Roman" w:hint="eastAsia"/>
                <w:color w:val="000000"/>
                <w:kern w:val="0"/>
                <w:sz w:val="18"/>
                <w:szCs w:val="18"/>
                <w14:ligatures w14:val="none"/>
              </w:rPr>
              <w:t xml:space="preserve"> </w:t>
            </w:r>
            <w:r w:rsidRPr="00EB51D5">
              <w:rPr>
                <w:rFonts w:ascii="Times New Roman" w:eastAsia="宋体" w:hAnsi="Times New Roman" w:cs="Times New Roman"/>
                <w:color w:val="000000"/>
                <w:kern w:val="0"/>
                <w:sz w:val="18"/>
                <w:szCs w:val="18"/>
                <w14:ligatures w14:val="none"/>
              </w:rPr>
              <w:t>(0,2,2)</w:t>
            </w:r>
          </w:p>
        </w:tc>
        <w:tc>
          <w:tcPr>
            <w:tcW w:w="691" w:type="pct"/>
            <w:shd w:val="clear" w:color="auto" w:fill="auto"/>
            <w:noWrap/>
            <w:vAlign w:val="center"/>
            <w:hideMark/>
          </w:tcPr>
          <w:p w14:paraId="21826481"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29719.75</w:t>
            </w:r>
          </w:p>
        </w:tc>
        <w:tc>
          <w:tcPr>
            <w:tcW w:w="691" w:type="pct"/>
            <w:shd w:val="clear" w:color="auto" w:fill="auto"/>
            <w:noWrap/>
            <w:vAlign w:val="center"/>
            <w:hideMark/>
          </w:tcPr>
          <w:p w14:paraId="22567165"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801120.9</w:t>
            </w:r>
          </w:p>
        </w:tc>
        <w:tc>
          <w:tcPr>
            <w:tcW w:w="639" w:type="pct"/>
            <w:shd w:val="clear" w:color="auto" w:fill="auto"/>
            <w:noWrap/>
            <w:vAlign w:val="center"/>
            <w:hideMark/>
          </w:tcPr>
          <w:p w14:paraId="694902EF"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0.037</w:t>
            </w:r>
          </w:p>
        </w:tc>
      </w:tr>
      <w:tr w:rsidR="00EB51D5" w:rsidRPr="00EB51D5" w14:paraId="77BA723E" w14:textId="77777777" w:rsidTr="00EB51D5">
        <w:trPr>
          <w:trHeight w:val="288"/>
        </w:trPr>
        <w:tc>
          <w:tcPr>
            <w:tcW w:w="603" w:type="pct"/>
            <w:shd w:val="clear" w:color="auto" w:fill="auto"/>
            <w:noWrap/>
            <w:vAlign w:val="center"/>
            <w:hideMark/>
          </w:tcPr>
          <w:p w14:paraId="487A0A47"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38</w:t>
            </w:r>
          </w:p>
        </w:tc>
        <w:tc>
          <w:tcPr>
            <w:tcW w:w="603" w:type="pct"/>
            <w:shd w:val="clear" w:color="auto" w:fill="auto"/>
            <w:noWrap/>
            <w:vAlign w:val="center"/>
            <w:hideMark/>
          </w:tcPr>
          <w:p w14:paraId="0CE9196B"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KOR</w:t>
            </w:r>
          </w:p>
        </w:tc>
        <w:tc>
          <w:tcPr>
            <w:tcW w:w="928" w:type="pct"/>
            <w:shd w:val="clear" w:color="auto" w:fill="auto"/>
            <w:noWrap/>
            <w:vAlign w:val="center"/>
            <w:hideMark/>
          </w:tcPr>
          <w:p w14:paraId="6580C641"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South Korea</w:t>
            </w:r>
          </w:p>
        </w:tc>
        <w:tc>
          <w:tcPr>
            <w:tcW w:w="842" w:type="pct"/>
            <w:shd w:val="clear" w:color="auto" w:fill="auto"/>
            <w:noWrap/>
            <w:vAlign w:val="center"/>
            <w:hideMark/>
          </w:tcPr>
          <w:p w14:paraId="1842A826" w14:textId="3968E091"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ARIMA</w:t>
            </w:r>
            <w:r>
              <w:rPr>
                <w:rFonts w:ascii="Times New Roman" w:eastAsia="宋体" w:hAnsi="Times New Roman" w:cs="Times New Roman" w:hint="eastAsia"/>
                <w:color w:val="000000"/>
                <w:kern w:val="0"/>
                <w:sz w:val="18"/>
                <w:szCs w:val="18"/>
                <w14:ligatures w14:val="none"/>
              </w:rPr>
              <w:t xml:space="preserve"> </w:t>
            </w:r>
            <w:r w:rsidRPr="00EB51D5">
              <w:rPr>
                <w:rFonts w:ascii="Times New Roman" w:eastAsia="宋体" w:hAnsi="Times New Roman" w:cs="Times New Roman"/>
                <w:color w:val="000000"/>
                <w:kern w:val="0"/>
                <w:sz w:val="18"/>
                <w:szCs w:val="18"/>
                <w14:ligatures w14:val="none"/>
              </w:rPr>
              <w:t>(0,1,1)</w:t>
            </w:r>
          </w:p>
        </w:tc>
        <w:tc>
          <w:tcPr>
            <w:tcW w:w="691" w:type="pct"/>
            <w:shd w:val="clear" w:color="auto" w:fill="auto"/>
            <w:noWrap/>
            <w:vAlign w:val="center"/>
            <w:hideMark/>
          </w:tcPr>
          <w:p w14:paraId="503968EF"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1427.65</w:t>
            </w:r>
          </w:p>
        </w:tc>
        <w:tc>
          <w:tcPr>
            <w:tcW w:w="691" w:type="pct"/>
            <w:shd w:val="clear" w:color="auto" w:fill="auto"/>
            <w:noWrap/>
            <w:vAlign w:val="center"/>
            <w:hideMark/>
          </w:tcPr>
          <w:p w14:paraId="457B7C54"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22713.0</w:t>
            </w:r>
          </w:p>
        </w:tc>
        <w:tc>
          <w:tcPr>
            <w:tcW w:w="639" w:type="pct"/>
            <w:shd w:val="clear" w:color="auto" w:fill="auto"/>
            <w:noWrap/>
            <w:vAlign w:val="center"/>
            <w:hideMark/>
          </w:tcPr>
          <w:p w14:paraId="2D5D84C0"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0.063</w:t>
            </w:r>
          </w:p>
        </w:tc>
      </w:tr>
      <w:tr w:rsidR="00EB51D5" w:rsidRPr="00EB51D5" w14:paraId="644D9AB6" w14:textId="77777777" w:rsidTr="00EB51D5">
        <w:trPr>
          <w:trHeight w:val="288"/>
        </w:trPr>
        <w:tc>
          <w:tcPr>
            <w:tcW w:w="603" w:type="pct"/>
            <w:shd w:val="clear" w:color="auto" w:fill="auto"/>
            <w:noWrap/>
            <w:vAlign w:val="center"/>
            <w:hideMark/>
          </w:tcPr>
          <w:p w14:paraId="46BDB314"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39</w:t>
            </w:r>
          </w:p>
        </w:tc>
        <w:tc>
          <w:tcPr>
            <w:tcW w:w="603" w:type="pct"/>
            <w:shd w:val="clear" w:color="auto" w:fill="auto"/>
            <w:noWrap/>
            <w:vAlign w:val="center"/>
            <w:hideMark/>
          </w:tcPr>
          <w:p w14:paraId="768BD829"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JPN</w:t>
            </w:r>
          </w:p>
        </w:tc>
        <w:tc>
          <w:tcPr>
            <w:tcW w:w="928" w:type="pct"/>
            <w:shd w:val="clear" w:color="auto" w:fill="auto"/>
            <w:noWrap/>
            <w:vAlign w:val="center"/>
            <w:hideMark/>
          </w:tcPr>
          <w:p w14:paraId="6DF08B30"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Japan</w:t>
            </w:r>
          </w:p>
        </w:tc>
        <w:tc>
          <w:tcPr>
            <w:tcW w:w="842" w:type="pct"/>
            <w:shd w:val="clear" w:color="auto" w:fill="auto"/>
            <w:noWrap/>
            <w:vAlign w:val="center"/>
            <w:hideMark/>
          </w:tcPr>
          <w:p w14:paraId="401898AA" w14:textId="077BF8A4"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ARIMA</w:t>
            </w:r>
            <w:r>
              <w:rPr>
                <w:rFonts w:ascii="Times New Roman" w:eastAsia="宋体" w:hAnsi="Times New Roman" w:cs="Times New Roman" w:hint="eastAsia"/>
                <w:color w:val="000000"/>
                <w:kern w:val="0"/>
                <w:sz w:val="18"/>
                <w:szCs w:val="18"/>
                <w14:ligatures w14:val="none"/>
              </w:rPr>
              <w:t xml:space="preserve"> </w:t>
            </w:r>
            <w:r w:rsidRPr="00EB51D5">
              <w:rPr>
                <w:rFonts w:ascii="Times New Roman" w:eastAsia="宋体" w:hAnsi="Times New Roman" w:cs="Times New Roman"/>
                <w:color w:val="000000"/>
                <w:kern w:val="0"/>
                <w:sz w:val="18"/>
                <w:szCs w:val="18"/>
                <w14:ligatures w14:val="none"/>
              </w:rPr>
              <w:t>(1,2,2)</w:t>
            </w:r>
          </w:p>
        </w:tc>
        <w:tc>
          <w:tcPr>
            <w:tcW w:w="691" w:type="pct"/>
            <w:shd w:val="clear" w:color="auto" w:fill="auto"/>
            <w:noWrap/>
            <w:vAlign w:val="center"/>
            <w:hideMark/>
          </w:tcPr>
          <w:p w14:paraId="0AA57EB6"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2550.74</w:t>
            </w:r>
          </w:p>
        </w:tc>
        <w:tc>
          <w:tcPr>
            <w:tcW w:w="691" w:type="pct"/>
            <w:shd w:val="clear" w:color="auto" w:fill="auto"/>
            <w:noWrap/>
            <w:vAlign w:val="center"/>
            <w:hideMark/>
          </w:tcPr>
          <w:p w14:paraId="09FAD480"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31584.8</w:t>
            </w:r>
          </w:p>
        </w:tc>
        <w:tc>
          <w:tcPr>
            <w:tcW w:w="639" w:type="pct"/>
            <w:shd w:val="clear" w:color="auto" w:fill="auto"/>
            <w:noWrap/>
            <w:vAlign w:val="center"/>
            <w:hideMark/>
          </w:tcPr>
          <w:p w14:paraId="76B6F7CE"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0.081</w:t>
            </w:r>
          </w:p>
        </w:tc>
      </w:tr>
      <w:tr w:rsidR="00EB51D5" w:rsidRPr="00EB51D5" w14:paraId="1B94E8A3" w14:textId="77777777" w:rsidTr="00EB51D5">
        <w:trPr>
          <w:trHeight w:val="288"/>
        </w:trPr>
        <w:tc>
          <w:tcPr>
            <w:tcW w:w="603" w:type="pct"/>
            <w:shd w:val="clear" w:color="auto" w:fill="auto"/>
            <w:noWrap/>
            <w:vAlign w:val="center"/>
            <w:hideMark/>
          </w:tcPr>
          <w:p w14:paraId="10352225"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40</w:t>
            </w:r>
          </w:p>
        </w:tc>
        <w:tc>
          <w:tcPr>
            <w:tcW w:w="603" w:type="pct"/>
            <w:shd w:val="clear" w:color="auto" w:fill="auto"/>
            <w:noWrap/>
            <w:vAlign w:val="center"/>
            <w:hideMark/>
          </w:tcPr>
          <w:p w14:paraId="616B99BD"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VNM</w:t>
            </w:r>
          </w:p>
        </w:tc>
        <w:tc>
          <w:tcPr>
            <w:tcW w:w="928" w:type="pct"/>
            <w:shd w:val="clear" w:color="auto" w:fill="auto"/>
            <w:noWrap/>
            <w:vAlign w:val="center"/>
            <w:hideMark/>
          </w:tcPr>
          <w:p w14:paraId="77F5DF9E"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Vietnam</w:t>
            </w:r>
          </w:p>
        </w:tc>
        <w:tc>
          <w:tcPr>
            <w:tcW w:w="842" w:type="pct"/>
            <w:shd w:val="clear" w:color="auto" w:fill="auto"/>
            <w:noWrap/>
            <w:vAlign w:val="center"/>
            <w:hideMark/>
          </w:tcPr>
          <w:p w14:paraId="2E90A92F" w14:textId="39FE5683"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ARIMA</w:t>
            </w:r>
            <w:r>
              <w:rPr>
                <w:rFonts w:ascii="Times New Roman" w:eastAsia="宋体" w:hAnsi="Times New Roman" w:cs="Times New Roman" w:hint="eastAsia"/>
                <w:color w:val="000000"/>
                <w:kern w:val="0"/>
                <w:sz w:val="18"/>
                <w:szCs w:val="18"/>
                <w14:ligatures w14:val="none"/>
              </w:rPr>
              <w:t xml:space="preserve"> </w:t>
            </w:r>
            <w:r w:rsidRPr="00EB51D5">
              <w:rPr>
                <w:rFonts w:ascii="Times New Roman" w:eastAsia="宋体" w:hAnsi="Times New Roman" w:cs="Times New Roman"/>
                <w:color w:val="000000"/>
                <w:kern w:val="0"/>
                <w:sz w:val="18"/>
                <w:szCs w:val="18"/>
                <w14:ligatures w14:val="none"/>
              </w:rPr>
              <w:t>(1,2,1)</w:t>
            </w:r>
          </w:p>
        </w:tc>
        <w:tc>
          <w:tcPr>
            <w:tcW w:w="691" w:type="pct"/>
            <w:shd w:val="clear" w:color="auto" w:fill="auto"/>
            <w:noWrap/>
            <w:vAlign w:val="center"/>
            <w:hideMark/>
          </w:tcPr>
          <w:p w14:paraId="7EB7426B"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1291.98</w:t>
            </w:r>
          </w:p>
        </w:tc>
        <w:tc>
          <w:tcPr>
            <w:tcW w:w="691" w:type="pct"/>
            <w:shd w:val="clear" w:color="auto" w:fill="auto"/>
            <w:noWrap/>
            <w:vAlign w:val="center"/>
            <w:hideMark/>
          </w:tcPr>
          <w:p w14:paraId="577BF49C"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30389.8</w:t>
            </w:r>
          </w:p>
        </w:tc>
        <w:tc>
          <w:tcPr>
            <w:tcW w:w="639" w:type="pct"/>
            <w:shd w:val="clear" w:color="auto" w:fill="auto"/>
            <w:noWrap/>
            <w:vAlign w:val="center"/>
            <w:hideMark/>
          </w:tcPr>
          <w:p w14:paraId="4963FAAF"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0.043</w:t>
            </w:r>
          </w:p>
        </w:tc>
      </w:tr>
      <w:tr w:rsidR="00EB51D5" w:rsidRPr="00EB51D5" w14:paraId="05FB7F4A" w14:textId="77777777" w:rsidTr="00EB51D5">
        <w:trPr>
          <w:trHeight w:val="288"/>
        </w:trPr>
        <w:tc>
          <w:tcPr>
            <w:tcW w:w="603" w:type="pct"/>
            <w:shd w:val="clear" w:color="auto" w:fill="auto"/>
            <w:noWrap/>
            <w:vAlign w:val="center"/>
            <w:hideMark/>
          </w:tcPr>
          <w:p w14:paraId="3AAD7F9F"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41</w:t>
            </w:r>
          </w:p>
        </w:tc>
        <w:tc>
          <w:tcPr>
            <w:tcW w:w="603" w:type="pct"/>
            <w:shd w:val="clear" w:color="auto" w:fill="auto"/>
            <w:noWrap/>
            <w:vAlign w:val="center"/>
            <w:hideMark/>
          </w:tcPr>
          <w:p w14:paraId="2D05B866"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IDN</w:t>
            </w:r>
          </w:p>
        </w:tc>
        <w:tc>
          <w:tcPr>
            <w:tcW w:w="928" w:type="pct"/>
            <w:shd w:val="clear" w:color="auto" w:fill="auto"/>
            <w:noWrap/>
            <w:vAlign w:val="center"/>
            <w:hideMark/>
          </w:tcPr>
          <w:p w14:paraId="4F7FFF64"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Indonesia</w:t>
            </w:r>
          </w:p>
        </w:tc>
        <w:tc>
          <w:tcPr>
            <w:tcW w:w="842" w:type="pct"/>
            <w:shd w:val="clear" w:color="auto" w:fill="auto"/>
            <w:noWrap/>
            <w:vAlign w:val="center"/>
            <w:hideMark/>
          </w:tcPr>
          <w:p w14:paraId="7C756D1A" w14:textId="6D49BC80"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ARIMA</w:t>
            </w:r>
            <w:r>
              <w:rPr>
                <w:rFonts w:ascii="Times New Roman" w:eastAsia="宋体" w:hAnsi="Times New Roman" w:cs="Times New Roman" w:hint="eastAsia"/>
                <w:color w:val="000000"/>
                <w:kern w:val="0"/>
                <w:sz w:val="18"/>
                <w:szCs w:val="18"/>
                <w14:ligatures w14:val="none"/>
              </w:rPr>
              <w:t xml:space="preserve"> </w:t>
            </w:r>
            <w:r w:rsidRPr="00EB51D5">
              <w:rPr>
                <w:rFonts w:ascii="Times New Roman" w:eastAsia="宋体" w:hAnsi="Times New Roman" w:cs="Times New Roman"/>
                <w:color w:val="000000"/>
                <w:kern w:val="0"/>
                <w:sz w:val="18"/>
                <w:szCs w:val="18"/>
                <w14:ligatures w14:val="none"/>
              </w:rPr>
              <w:t>(2,2,3)</w:t>
            </w:r>
          </w:p>
        </w:tc>
        <w:tc>
          <w:tcPr>
            <w:tcW w:w="691" w:type="pct"/>
            <w:shd w:val="clear" w:color="auto" w:fill="auto"/>
            <w:noWrap/>
            <w:vAlign w:val="center"/>
            <w:hideMark/>
          </w:tcPr>
          <w:p w14:paraId="3FE76D1D"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1177.49</w:t>
            </w:r>
          </w:p>
        </w:tc>
        <w:tc>
          <w:tcPr>
            <w:tcW w:w="691" w:type="pct"/>
            <w:shd w:val="clear" w:color="auto" w:fill="auto"/>
            <w:noWrap/>
            <w:vAlign w:val="center"/>
            <w:hideMark/>
          </w:tcPr>
          <w:p w14:paraId="2C51D651"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21676.9</w:t>
            </w:r>
          </w:p>
        </w:tc>
        <w:tc>
          <w:tcPr>
            <w:tcW w:w="639" w:type="pct"/>
            <w:shd w:val="clear" w:color="auto" w:fill="auto"/>
            <w:noWrap/>
            <w:vAlign w:val="center"/>
            <w:hideMark/>
          </w:tcPr>
          <w:p w14:paraId="5A97A0AA"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0.054</w:t>
            </w:r>
          </w:p>
        </w:tc>
      </w:tr>
      <w:tr w:rsidR="00EB51D5" w:rsidRPr="00EB51D5" w14:paraId="6A84981B" w14:textId="77777777" w:rsidTr="00EB51D5">
        <w:trPr>
          <w:trHeight w:val="288"/>
        </w:trPr>
        <w:tc>
          <w:tcPr>
            <w:tcW w:w="603" w:type="pct"/>
            <w:tcBorders>
              <w:bottom w:val="single" w:sz="12" w:space="0" w:color="auto"/>
            </w:tcBorders>
            <w:shd w:val="clear" w:color="auto" w:fill="auto"/>
            <w:noWrap/>
            <w:vAlign w:val="center"/>
            <w:hideMark/>
          </w:tcPr>
          <w:p w14:paraId="1C4EF215"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42</w:t>
            </w:r>
          </w:p>
        </w:tc>
        <w:tc>
          <w:tcPr>
            <w:tcW w:w="603" w:type="pct"/>
            <w:tcBorders>
              <w:bottom w:val="single" w:sz="12" w:space="0" w:color="auto"/>
            </w:tcBorders>
            <w:shd w:val="clear" w:color="auto" w:fill="auto"/>
            <w:noWrap/>
            <w:vAlign w:val="center"/>
            <w:hideMark/>
          </w:tcPr>
          <w:p w14:paraId="1BA9CBF3"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ZAF</w:t>
            </w:r>
          </w:p>
        </w:tc>
        <w:tc>
          <w:tcPr>
            <w:tcW w:w="928" w:type="pct"/>
            <w:tcBorders>
              <w:bottom w:val="single" w:sz="12" w:space="0" w:color="auto"/>
            </w:tcBorders>
            <w:shd w:val="clear" w:color="auto" w:fill="auto"/>
            <w:noWrap/>
            <w:vAlign w:val="center"/>
            <w:hideMark/>
          </w:tcPr>
          <w:p w14:paraId="5C01E538"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South Africa</w:t>
            </w:r>
          </w:p>
        </w:tc>
        <w:tc>
          <w:tcPr>
            <w:tcW w:w="842" w:type="pct"/>
            <w:tcBorders>
              <w:bottom w:val="single" w:sz="12" w:space="0" w:color="auto"/>
            </w:tcBorders>
            <w:shd w:val="clear" w:color="auto" w:fill="auto"/>
            <w:noWrap/>
            <w:vAlign w:val="center"/>
            <w:hideMark/>
          </w:tcPr>
          <w:p w14:paraId="4FC37B2C" w14:textId="40D15D55"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ARIMA</w:t>
            </w:r>
            <w:r>
              <w:rPr>
                <w:rFonts w:ascii="Times New Roman" w:eastAsia="宋体" w:hAnsi="Times New Roman" w:cs="Times New Roman" w:hint="eastAsia"/>
                <w:color w:val="000000"/>
                <w:kern w:val="0"/>
                <w:sz w:val="18"/>
                <w:szCs w:val="18"/>
                <w14:ligatures w14:val="none"/>
              </w:rPr>
              <w:t xml:space="preserve"> </w:t>
            </w:r>
            <w:r w:rsidRPr="00EB51D5">
              <w:rPr>
                <w:rFonts w:ascii="Times New Roman" w:eastAsia="宋体" w:hAnsi="Times New Roman" w:cs="Times New Roman"/>
                <w:color w:val="000000"/>
                <w:kern w:val="0"/>
                <w:sz w:val="18"/>
                <w:szCs w:val="18"/>
                <w14:ligatures w14:val="none"/>
              </w:rPr>
              <w:t>(0,1,0)</w:t>
            </w:r>
          </w:p>
        </w:tc>
        <w:tc>
          <w:tcPr>
            <w:tcW w:w="691" w:type="pct"/>
            <w:tcBorders>
              <w:bottom w:val="single" w:sz="12" w:space="0" w:color="auto"/>
            </w:tcBorders>
            <w:shd w:val="clear" w:color="auto" w:fill="auto"/>
            <w:noWrap/>
            <w:vAlign w:val="center"/>
            <w:hideMark/>
          </w:tcPr>
          <w:p w14:paraId="19591B0E"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436.09</w:t>
            </w:r>
          </w:p>
        </w:tc>
        <w:tc>
          <w:tcPr>
            <w:tcW w:w="691" w:type="pct"/>
            <w:tcBorders>
              <w:bottom w:val="single" w:sz="12" w:space="0" w:color="auto"/>
            </w:tcBorders>
            <w:shd w:val="clear" w:color="auto" w:fill="auto"/>
            <w:noWrap/>
            <w:vAlign w:val="center"/>
            <w:hideMark/>
          </w:tcPr>
          <w:p w14:paraId="0A6FBA49"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4640.0</w:t>
            </w:r>
          </w:p>
        </w:tc>
        <w:tc>
          <w:tcPr>
            <w:tcW w:w="639" w:type="pct"/>
            <w:tcBorders>
              <w:bottom w:val="single" w:sz="12" w:space="0" w:color="auto"/>
            </w:tcBorders>
            <w:shd w:val="clear" w:color="auto" w:fill="auto"/>
            <w:noWrap/>
            <w:vAlign w:val="center"/>
            <w:hideMark/>
          </w:tcPr>
          <w:p w14:paraId="7B4A3FF5" w14:textId="77777777" w:rsidR="00EB51D5" w:rsidRPr="00EB51D5" w:rsidRDefault="00EB51D5" w:rsidP="00EB51D5">
            <w:pPr>
              <w:widowControl/>
              <w:jc w:val="center"/>
              <w:rPr>
                <w:rFonts w:ascii="Times New Roman" w:eastAsia="宋体" w:hAnsi="Times New Roman" w:cs="Times New Roman"/>
                <w:color w:val="000000"/>
                <w:kern w:val="0"/>
                <w:sz w:val="18"/>
                <w:szCs w:val="18"/>
                <w14:ligatures w14:val="none"/>
              </w:rPr>
            </w:pPr>
            <w:r w:rsidRPr="00EB51D5">
              <w:rPr>
                <w:rFonts w:ascii="Times New Roman" w:eastAsia="宋体" w:hAnsi="Times New Roman" w:cs="Times New Roman"/>
                <w:color w:val="000000"/>
                <w:kern w:val="0"/>
                <w:sz w:val="18"/>
                <w:szCs w:val="18"/>
                <w14:ligatures w14:val="none"/>
              </w:rPr>
              <w:t>0.094</w:t>
            </w:r>
          </w:p>
        </w:tc>
      </w:tr>
    </w:tbl>
    <w:p w14:paraId="38EA679D" w14:textId="222B2CA2" w:rsidR="005E6FA1" w:rsidRPr="00634929" w:rsidRDefault="005E6FA1" w:rsidP="00CB5288">
      <w:pPr>
        <w:spacing w:before="100" w:beforeAutospacing="1" w:after="100" w:afterAutospacing="1"/>
        <w:ind w:left="720"/>
        <w:rPr>
          <w:rFonts w:ascii="Times New Roman" w:eastAsiaTheme="minorEastAsia" w:hAnsi="Times New Roman"/>
        </w:rPr>
      </w:pPr>
      <w:r w:rsidRPr="00C1215B">
        <w:rPr>
          <w:rFonts w:ascii="Times New Roman" w:hAnsi="Times New Roman" w:hint="eastAsia"/>
          <w:b/>
          <w:bCs/>
          <w:i/>
          <w:iCs/>
          <w:color w:val="FF0000"/>
        </w:rPr>
        <w:t>Changes:</w:t>
      </w:r>
      <w:r>
        <w:rPr>
          <w:rFonts w:ascii="Times New Roman" w:eastAsiaTheme="minorEastAsia" w:hAnsi="Times New Roman" w:hint="eastAsia"/>
        </w:rPr>
        <w:t xml:space="preserve"> </w:t>
      </w:r>
      <w:r w:rsidR="001D0910" w:rsidRPr="001D0910">
        <w:rPr>
          <w:rFonts w:ascii="Times New Roman" w:eastAsiaTheme="minorEastAsia" w:hAnsi="Times New Roman"/>
        </w:rPr>
        <w:t xml:space="preserve">We performed cross-validation on the ARIMA forecasting model applied to 163 countries and included the results in the </w:t>
      </w:r>
      <w:r w:rsidR="001D0910">
        <w:rPr>
          <w:rFonts w:ascii="Times New Roman" w:eastAsiaTheme="minorEastAsia" w:hAnsi="Times New Roman" w:hint="eastAsia"/>
        </w:rPr>
        <w:t>Supplementary</w:t>
      </w:r>
      <w:r w:rsidR="001D0910" w:rsidRPr="001D0910">
        <w:rPr>
          <w:rFonts w:ascii="Times New Roman" w:eastAsiaTheme="minorEastAsia" w:hAnsi="Times New Roman"/>
        </w:rPr>
        <w:t xml:space="preserve"> tables</w:t>
      </w:r>
      <w:r w:rsidR="001D0910">
        <w:rPr>
          <w:rFonts w:ascii="Times New Roman" w:eastAsiaTheme="minorEastAsia" w:hAnsi="Times New Roman" w:hint="eastAsia"/>
        </w:rPr>
        <w:t xml:space="preserve"> </w:t>
      </w:r>
      <w:r w:rsidR="001D0910" w:rsidRPr="001D0910">
        <w:rPr>
          <w:rFonts w:ascii="Times New Roman" w:eastAsiaTheme="minorEastAsia" w:hAnsi="Times New Roman" w:cs="Times New Roman"/>
          <w:color w:val="000000" w:themeColor="text1"/>
        </w:rPr>
        <w:t>(</w:t>
      </w:r>
      <w:r w:rsidR="001D0910" w:rsidRPr="001D0910">
        <w:rPr>
          <w:rFonts w:ascii="Times New Roman" w:eastAsia="宋体" w:hAnsi="Times New Roman" w:cs="Times New Roman"/>
          <w:color w:val="000000" w:themeColor="text1"/>
        </w:rPr>
        <w:t xml:space="preserve">available from </w:t>
      </w:r>
      <w:hyperlink r:id="rId7" w:history="1">
        <w:r w:rsidR="001D0910" w:rsidRPr="001D0910">
          <w:rPr>
            <w:rStyle w:val="a8"/>
            <w:rFonts w:ascii="Times New Roman" w:eastAsia="宋体" w:hAnsi="Times New Roman" w:cs="Times New Roman"/>
            <w:color w:val="000000" w:themeColor="text1"/>
          </w:rPr>
          <w:t>https://doi.org/10.5281/zenodo.13827861</w:t>
        </w:r>
      </w:hyperlink>
      <w:r w:rsidR="001D0910" w:rsidRPr="001D0910">
        <w:rPr>
          <w:rFonts w:ascii="Times New Roman" w:eastAsia="宋体" w:hAnsi="Times New Roman" w:cs="Times New Roman"/>
          <w:color w:val="000000" w:themeColor="text1"/>
        </w:rPr>
        <w:t xml:space="preserve"> </w:t>
      </w:r>
      <w:r w:rsidR="001D0910" w:rsidRPr="001D0910">
        <w:rPr>
          <w:rFonts w:ascii="Times New Roman" w:eastAsia="宋体" w:hAnsi="Times New Roman" w:cs="Times New Roman"/>
          <w:b/>
          <w:bCs/>
          <w:color w:val="000000" w:themeColor="text1"/>
        </w:rPr>
        <w:fldChar w:fldCharType="begin"/>
      </w:r>
      <w:r w:rsidR="001D0910" w:rsidRPr="001D0910">
        <w:rPr>
          <w:rFonts w:ascii="Times New Roman" w:eastAsia="宋体" w:hAnsi="Times New Roman" w:cs="Times New Roman"/>
          <w:color w:val="000000" w:themeColor="text1"/>
        </w:rPr>
        <w:instrText xml:space="preserve"> ADDIN ZOTERO_ITEM CSL_CITATION {"citationID":"T7rNsrOV","properties":{"formattedCitation":"(Wu et al., 2024)","plainCitation":"(Wu et al., 2024)","dontUpdate":true,"noteIndex":0},"citationItems":[{"id":3338,"uris":["http://zotero.org/users/10011104/items/WEHY9K4Q"],"itemData":{"id":3338,"type":"dataset","abstract":"This dataset is associated with the publication on Earth System Science Data, with the same title.It includes five sections including the model inputs of the estimation models, the simulation results of global CO2 emission and uptake by year, the variables and ranges considered in the uncertainty analyses of the uptake estimation and the corresponding confidence intervals from the analyses. For detailed explanations of these datasets, one should should refer to the original manuscript.","DOI":"10.5281/zenodo.13827861","publisher":"Zenodo","source":"Zenodo","title":"Global and national CO2 uptake by cement carbonation from 1928 to 2024","URL":"https://zenodo.org/records/13827861","author":[{"family":"Wu","given":"Songbin"},{"family":"Niu","given":"Le"},{"family":"Wang","given":"Jiaoyue"},{"family":"Xi","given":"Fengming"}],"accessed":{"date-parts":[["2024",9,25]]},"issued":{"date-parts":[["2024",9,23]]}}}],"schema":"https://github.com/citation-style-language/schema/raw/master/csl-citation.json"} </w:instrText>
      </w:r>
      <w:r w:rsidR="001D0910" w:rsidRPr="001D0910">
        <w:rPr>
          <w:rFonts w:ascii="Times New Roman" w:eastAsia="宋体" w:hAnsi="Times New Roman" w:cs="Times New Roman"/>
          <w:b/>
          <w:bCs/>
          <w:color w:val="000000" w:themeColor="text1"/>
        </w:rPr>
        <w:fldChar w:fldCharType="separate"/>
      </w:r>
      <w:r w:rsidR="001D0910" w:rsidRPr="001D0910">
        <w:rPr>
          <w:rFonts w:ascii="Times New Roman" w:eastAsia="宋体" w:hAnsi="Times New Roman" w:cs="Times New Roman"/>
          <w:color w:val="000000" w:themeColor="text1"/>
        </w:rPr>
        <w:t>Wu et al., 2024)</w:t>
      </w:r>
      <w:r w:rsidR="001D0910" w:rsidRPr="001D0910">
        <w:rPr>
          <w:rFonts w:ascii="Times New Roman" w:eastAsia="宋体" w:hAnsi="Times New Roman" w:cs="Times New Roman"/>
          <w:b/>
          <w:bCs/>
          <w:color w:val="000000" w:themeColor="text1"/>
        </w:rPr>
        <w:fldChar w:fldCharType="end"/>
      </w:r>
      <w:r w:rsidR="001D0910" w:rsidRPr="001D0910">
        <w:rPr>
          <w:rFonts w:ascii="Times New Roman" w:eastAsiaTheme="minorEastAsia" w:hAnsi="Times New Roman"/>
        </w:rPr>
        <w:t>, with corresponding descriptions provided in the</w:t>
      </w:r>
      <w:r w:rsidR="00634929">
        <w:rPr>
          <w:rFonts w:ascii="Times New Roman" w:eastAsiaTheme="minorEastAsia" w:hAnsi="Times New Roman" w:hint="eastAsia"/>
        </w:rPr>
        <w:t xml:space="preserve"> main </w:t>
      </w:r>
      <w:r w:rsidR="001D0910" w:rsidRPr="001D0910">
        <w:rPr>
          <w:rFonts w:ascii="Times New Roman" w:eastAsiaTheme="minorEastAsia" w:hAnsi="Times New Roman"/>
        </w:rPr>
        <w:t>text</w:t>
      </w:r>
      <w:r w:rsidR="00634929">
        <w:rPr>
          <w:rFonts w:ascii="Times New Roman" w:eastAsiaTheme="minorEastAsia" w:hAnsi="Times New Roman" w:hint="eastAsia"/>
        </w:rPr>
        <w:t xml:space="preserve">: </w:t>
      </w:r>
      <w:r w:rsidR="00634929">
        <w:rPr>
          <w:rFonts w:ascii="Times New Roman" w:eastAsiaTheme="minorEastAsia" w:hAnsi="Times New Roman"/>
        </w:rPr>
        <w:t>“</w:t>
      </w:r>
      <w:r w:rsidR="00634929" w:rsidRPr="00634929">
        <w:rPr>
          <w:rFonts w:ascii="Times New Roman" w:eastAsiaTheme="minorEastAsia" w:hAnsi="Times New Roman"/>
        </w:rPr>
        <w:t>we use the ARIMA model to forecast cement production for the year 2024 and cross-validated the model (see SI data 1 in Supplementary table 1 for details).</w:t>
      </w:r>
      <w:r w:rsidR="00634929">
        <w:rPr>
          <w:rFonts w:ascii="Times New Roman" w:eastAsiaTheme="minorEastAsia" w:hAnsi="Times New Roman"/>
        </w:rPr>
        <w:t>”</w:t>
      </w:r>
    </w:p>
    <w:p w14:paraId="512F5154" w14:textId="41900CAA" w:rsidR="006E4C52" w:rsidRPr="006E4C52" w:rsidRDefault="006E4C52" w:rsidP="00852A17">
      <w:pPr>
        <w:pStyle w:val="a7"/>
        <w:numPr>
          <w:ilvl w:val="0"/>
          <w:numId w:val="1"/>
        </w:numPr>
        <w:spacing w:before="100" w:beforeAutospacing="1" w:after="100" w:afterAutospacing="1"/>
        <w:ind w:firstLineChars="0"/>
        <w:rPr>
          <w:rFonts w:ascii="Times New Roman" w:hAnsi="Times New Roman"/>
        </w:rPr>
      </w:pPr>
      <w:r w:rsidRPr="006E4C52">
        <w:rPr>
          <w:rFonts w:ascii="Times New Roman" w:hAnsi="Times New Roman"/>
          <w:b/>
          <w:bCs/>
        </w:rPr>
        <w:t>CO</w:t>
      </w:r>
      <w:r w:rsidRPr="006E4C52">
        <w:rPr>
          <w:rFonts w:ascii="Times New Roman" w:hAnsi="Times New Roman" w:cs="Times New Roman"/>
          <w:b/>
          <w:bCs/>
        </w:rPr>
        <w:t>₂</w:t>
      </w:r>
      <w:r w:rsidRPr="006E4C52">
        <w:rPr>
          <w:rFonts w:ascii="Times New Roman" w:hAnsi="Times New Roman"/>
          <w:b/>
          <w:bCs/>
        </w:rPr>
        <w:t xml:space="preserve"> Uptake Characteristics</w:t>
      </w:r>
    </w:p>
    <w:p w14:paraId="1F4FEEE4" w14:textId="77777777" w:rsidR="006E4C52" w:rsidRDefault="006E4C52" w:rsidP="00852A17">
      <w:pPr>
        <w:spacing w:before="100" w:beforeAutospacing="1" w:after="100" w:afterAutospacing="1"/>
        <w:ind w:left="720"/>
        <w:rPr>
          <w:rFonts w:ascii="Times New Roman" w:hAnsi="Times New Roman"/>
        </w:rPr>
      </w:pPr>
      <w:bookmarkStart w:id="2" w:name="OLE_LINK3"/>
      <w:r w:rsidRPr="006E4C52">
        <w:rPr>
          <w:rFonts w:ascii="Times New Roman" w:hAnsi="Times New Roman"/>
        </w:rPr>
        <w:t>The CO</w:t>
      </w:r>
      <w:r w:rsidRPr="006E4C52">
        <w:rPr>
          <w:rFonts w:ascii="Times New Roman" w:hAnsi="Times New Roman" w:cs="Times New Roman"/>
        </w:rPr>
        <w:t>₂</w:t>
      </w:r>
      <w:r w:rsidRPr="006E4C52">
        <w:rPr>
          <w:rFonts w:ascii="Times New Roman" w:hAnsi="Times New Roman"/>
        </w:rPr>
        <w:t xml:space="preserve"> uptake ability of concrete theoretically decreases significantly over time due to surface calcification. How does the CO</w:t>
      </w:r>
      <w:r w:rsidRPr="006E4C52">
        <w:rPr>
          <w:rFonts w:ascii="Times New Roman" w:hAnsi="Times New Roman" w:cs="Times New Roman"/>
        </w:rPr>
        <w:t>₂</w:t>
      </w:r>
      <w:r w:rsidRPr="006E4C52">
        <w:rPr>
          <w:rFonts w:ascii="Times New Roman" w:hAnsi="Times New Roman"/>
        </w:rPr>
        <w:t xml:space="preserve"> uptake model (Table 1) account for this characteristic? Including explicit figures to demonstrate this phenomenon would strengthen the analysis.</w:t>
      </w:r>
    </w:p>
    <w:bookmarkEnd w:id="2"/>
    <w:p w14:paraId="069608B9" w14:textId="72EB358D" w:rsidR="00FC5C19" w:rsidRDefault="00E54650" w:rsidP="00852A17">
      <w:pPr>
        <w:spacing w:before="100" w:beforeAutospacing="1" w:after="100" w:afterAutospacing="1"/>
        <w:ind w:left="720"/>
        <w:rPr>
          <w:rFonts w:ascii="Times New Roman" w:hAnsi="Times New Roman"/>
        </w:rPr>
      </w:pPr>
      <w:r w:rsidRPr="00C1215B">
        <w:rPr>
          <w:rFonts w:ascii="Times New Roman" w:hAnsi="Times New Roman" w:hint="eastAsia"/>
          <w:b/>
          <w:bCs/>
          <w:i/>
          <w:iCs/>
          <w:color w:val="FF0000"/>
        </w:rPr>
        <w:t>Response:</w:t>
      </w:r>
      <w:r w:rsidRPr="00C1215B">
        <w:rPr>
          <w:rFonts w:ascii="Times New Roman" w:hAnsi="Times New Roman" w:hint="eastAsia"/>
          <w:i/>
          <w:iCs/>
          <w:color w:val="FF0000"/>
        </w:rPr>
        <w:t xml:space="preserve"> </w:t>
      </w:r>
      <w:r w:rsidR="005515C1" w:rsidRPr="005515C1">
        <w:rPr>
          <w:rFonts w:ascii="Times New Roman" w:hAnsi="Times New Roman"/>
        </w:rPr>
        <w:t>Thank you very much for your valuable comments</w:t>
      </w:r>
      <w:r w:rsidRPr="00E54650">
        <w:rPr>
          <w:rFonts w:ascii="Times New Roman" w:hAnsi="Times New Roman" w:hint="eastAsia"/>
        </w:rPr>
        <w:t>. The ability of concrete to absorb CO</w:t>
      </w:r>
      <w:r w:rsidRPr="00E54650">
        <w:rPr>
          <w:rFonts w:ascii="Times New Roman" w:hAnsi="Times New Roman" w:hint="eastAsia"/>
          <w:vertAlign w:val="subscript"/>
        </w:rPr>
        <w:t>2</w:t>
      </w:r>
      <w:r w:rsidRPr="00E54650">
        <w:rPr>
          <w:rFonts w:ascii="Times New Roman" w:hAnsi="Times New Roman" w:hint="eastAsia"/>
        </w:rPr>
        <w:t xml:space="preserve"> does decrease significantly with surface calcification. Our carbon uptake model is </w:t>
      </w:r>
      <w:r w:rsidR="005515C1" w:rsidRPr="00CB3A11">
        <w:rPr>
          <w:rFonts w:ascii="Times New Roman" w:hAnsi="Times New Roman"/>
        </w:rPr>
        <w:t>primarily</w:t>
      </w:r>
      <w:r w:rsidRPr="00E54650">
        <w:rPr>
          <w:rFonts w:ascii="Times New Roman" w:hAnsi="Times New Roman" w:hint="eastAsia"/>
        </w:rPr>
        <w:t xml:space="preserve"> based on Fick</w:t>
      </w:r>
      <w:r w:rsidR="008C291C">
        <w:rPr>
          <w:rFonts w:ascii="Times New Roman" w:hAnsi="Times New Roman"/>
        </w:rPr>
        <w:t>’</w:t>
      </w:r>
      <w:r w:rsidR="008C291C">
        <w:rPr>
          <w:rFonts w:ascii="Times New Roman" w:hAnsi="Times New Roman" w:hint="eastAsia"/>
        </w:rPr>
        <w:t xml:space="preserve"> </w:t>
      </w:r>
      <w:r w:rsidRPr="00E54650">
        <w:rPr>
          <w:rFonts w:ascii="Times New Roman" w:hAnsi="Times New Roman" w:hint="eastAsia"/>
        </w:rPr>
        <w:t xml:space="preserve">s </w:t>
      </w:r>
      <w:r w:rsidR="00CF0C08">
        <w:rPr>
          <w:rFonts w:ascii="Times New Roman" w:hAnsi="Times New Roman" w:hint="eastAsia"/>
        </w:rPr>
        <w:t xml:space="preserve">second </w:t>
      </w:r>
      <w:r w:rsidRPr="00E54650">
        <w:rPr>
          <w:rFonts w:ascii="Times New Roman" w:hAnsi="Times New Roman" w:hint="eastAsia"/>
        </w:rPr>
        <w:t>diffusion law</w:t>
      </w:r>
      <w:r w:rsidR="005515C1">
        <w:rPr>
          <w:rFonts w:ascii="Times New Roman" w:hAnsi="Times New Roman" w:hint="eastAsia"/>
        </w:rPr>
        <w:t xml:space="preserve">, </w:t>
      </w:r>
      <w:r w:rsidR="005515C1" w:rsidRPr="00CB3A11">
        <w:rPr>
          <w:rFonts w:ascii="Times New Roman" w:hAnsi="Times New Roman"/>
        </w:rPr>
        <w:t>as proposed by civil engineering researchers</w:t>
      </w:r>
      <w:r w:rsidR="005515C1">
        <w:rPr>
          <w:rFonts w:ascii="Times New Roman" w:hAnsi="Times New Roman" w:hint="eastAsia"/>
        </w:rPr>
        <w:t xml:space="preserve"> </w:t>
      </w:r>
      <w:r w:rsidR="005515C1" w:rsidRPr="00E54650">
        <w:rPr>
          <w:rFonts w:ascii="Times New Roman" w:hAnsi="Times New Roman" w:hint="eastAsia"/>
        </w:rPr>
        <w:t>(Andersson et al., 2013)</w:t>
      </w:r>
      <w:r w:rsidR="005515C1" w:rsidRPr="00CB3A11">
        <w:rPr>
          <w:rFonts w:ascii="Times New Roman" w:hAnsi="Times New Roman"/>
        </w:rPr>
        <w:t xml:space="preserve">. </w:t>
      </w:r>
      <w:r w:rsidR="00FC5C19" w:rsidRPr="00CB3A11">
        <w:rPr>
          <w:rFonts w:ascii="Times New Roman" w:hAnsi="Times New Roman"/>
        </w:rPr>
        <w:t xml:space="preserve">According to this principle, the depth of carbonation </w:t>
      </w:r>
      <w:r w:rsidR="006426AD">
        <w:rPr>
          <w:rFonts w:ascii="Times New Roman" w:hAnsi="Times New Roman" w:hint="eastAsia"/>
        </w:rPr>
        <w:t>(</w:t>
      </w:r>
      <w:r w:rsidR="006426AD" w:rsidRPr="006426AD">
        <w:rPr>
          <w:rFonts w:ascii="Times New Roman" w:hAnsi="Times New Roman" w:hint="eastAsia"/>
          <w:i/>
          <w:iCs/>
        </w:rPr>
        <w:t>d</w:t>
      </w:r>
      <w:r w:rsidR="006426AD">
        <w:rPr>
          <w:rFonts w:ascii="Times New Roman" w:hAnsi="Times New Roman" w:hint="eastAsia"/>
        </w:rPr>
        <w:t xml:space="preserve">) </w:t>
      </w:r>
      <w:r w:rsidR="00FC5C19" w:rsidRPr="00CB3A11">
        <w:rPr>
          <w:rFonts w:ascii="Times New Roman" w:hAnsi="Times New Roman"/>
        </w:rPr>
        <w:t>is proportional to the product of the carbonation rate</w:t>
      </w:r>
      <w:r w:rsidR="006426AD">
        <w:rPr>
          <w:rFonts w:ascii="Times New Roman" w:hAnsi="Times New Roman" w:hint="eastAsia"/>
        </w:rPr>
        <w:t xml:space="preserve"> (</w:t>
      </w:r>
      <w:r w:rsidR="006426AD" w:rsidRPr="006426AD">
        <w:rPr>
          <w:rFonts w:ascii="Times New Roman" w:hAnsi="Times New Roman" w:hint="eastAsia"/>
          <w:i/>
          <w:iCs/>
        </w:rPr>
        <w:t>k</w:t>
      </w:r>
      <w:r w:rsidR="006426AD">
        <w:rPr>
          <w:rFonts w:ascii="Times New Roman" w:hAnsi="Times New Roman" w:hint="eastAsia"/>
        </w:rPr>
        <w:t>)</w:t>
      </w:r>
      <w:r w:rsidR="00FC5C19" w:rsidRPr="00CB3A11">
        <w:rPr>
          <w:rFonts w:ascii="Times New Roman" w:hAnsi="Times New Roman"/>
        </w:rPr>
        <w:t xml:space="preserve"> and the square root of the exposure time</w:t>
      </w:r>
      <w:r w:rsidR="006426AD">
        <w:rPr>
          <w:rFonts w:ascii="Times New Roman" w:hAnsi="Times New Roman" w:hint="eastAsia"/>
        </w:rPr>
        <w:t xml:space="preserve"> (</w:t>
      </w:r>
      <w:r w:rsidR="006426AD" w:rsidRPr="006426AD">
        <w:rPr>
          <w:rFonts w:ascii="Times New Roman" w:hAnsi="Times New Roman" w:hint="eastAsia"/>
          <w:i/>
          <w:iCs/>
        </w:rPr>
        <w:t>t</w:t>
      </w:r>
      <w:r w:rsidR="006426AD">
        <w:rPr>
          <w:rFonts w:ascii="Times New Roman" w:hAnsi="Times New Roman" w:hint="eastAsia"/>
        </w:rPr>
        <w:t>)</w:t>
      </w:r>
      <w:r w:rsidR="00FC5C19" w:rsidRPr="00CB3A11">
        <w:rPr>
          <w:rFonts w:ascii="Times New Roman" w:hAnsi="Times New Roman"/>
        </w:rPr>
        <w:t xml:space="preserve"> (see Eq. (8) in the manuscript).</w:t>
      </w:r>
      <w:r w:rsidR="00FC5C19">
        <w:rPr>
          <w:rFonts w:ascii="Times New Roman" w:hAnsi="Times New Roman" w:hint="eastAsia"/>
        </w:rPr>
        <w:t xml:space="preserve"> </w:t>
      </w:r>
    </w:p>
    <w:p w14:paraId="6241BBD8" w14:textId="7197998E" w:rsidR="00FC5C19" w:rsidRPr="00FC5C19" w:rsidRDefault="00000000" w:rsidP="00852A17">
      <w:pPr>
        <w:spacing w:before="100" w:beforeAutospacing="1" w:after="100" w:afterAutospacing="1"/>
        <w:rPr>
          <w:rFonts w:eastAsia="宋体" w:hint="eastAsia"/>
        </w:rPr>
      </w:pPr>
      <m:oMathPara>
        <m:oMath>
          <m:eqArr>
            <m:eqArrPr>
              <m:maxDist m:val="1"/>
              <m:ctrlPr>
                <w:rPr>
                  <w:rFonts w:ascii="Cambria Math" w:eastAsia="宋体" w:hAnsi="Cambria Math"/>
                  <w:i/>
                </w:rPr>
              </m:ctrlPr>
            </m:eqArrPr>
            <m:e>
              <m:r>
                <w:rPr>
                  <w:rFonts w:ascii="Cambria Math" w:eastAsia="宋体" w:hAnsi="Cambria Math" w:hint="eastAsia"/>
                </w:rPr>
                <m:t>d</m:t>
              </m:r>
              <m:r>
                <w:rPr>
                  <w:rFonts w:ascii="Cambria Math" w:eastAsia="宋体" w:hAnsi="Cambria Math"/>
                </w:rPr>
                <m:t>=k×</m:t>
              </m:r>
              <m:rad>
                <m:radPr>
                  <m:degHide m:val="1"/>
                  <m:ctrlPr>
                    <w:rPr>
                      <w:rFonts w:ascii="Cambria Math" w:eastAsia="宋体" w:hAnsi="Cambria Math"/>
                      <w:i/>
                    </w:rPr>
                  </m:ctrlPr>
                </m:radPr>
                <m:deg/>
                <m:e>
                  <m:r>
                    <w:rPr>
                      <w:rFonts w:ascii="Cambria Math" w:eastAsia="宋体" w:hAnsi="Cambria Math"/>
                    </w:rPr>
                    <m:t>t</m:t>
                  </m:r>
                </m:e>
              </m:rad>
              <m:r>
                <w:rPr>
                  <w:rFonts w:ascii="Cambria Math" w:eastAsia="宋体" w:hAnsi="Cambria Math"/>
                </w:rPr>
                <m:t>#</m:t>
              </m:r>
            </m:e>
          </m:eqArr>
        </m:oMath>
      </m:oMathPara>
    </w:p>
    <w:p w14:paraId="1C2F3F27" w14:textId="6EC7EB2D" w:rsidR="00CF0C08" w:rsidRDefault="00CF0C08" w:rsidP="00852A17">
      <w:pPr>
        <w:spacing w:before="100" w:beforeAutospacing="1" w:after="100" w:afterAutospacing="1"/>
        <w:ind w:left="720"/>
        <w:rPr>
          <w:rFonts w:ascii="Times New Roman" w:hAnsi="Times New Roman"/>
        </w:rPr>
      </w:pPr>
      <w:r>
        <w:rPr>
          <w:rFonts w:ascii="Times New Roman" w:hAnsi="Times New Roman"/>
        </w:rPr>
        <w:t>T</w:t>
      </w:r>
      <w:r>
        <w:rPr>
          <w:rFonts w:ascii="Times New Roman" w:hAnsi="Times New Roman" w:hint="eastAsia"/>
        </w:rPr>
        <w:t xml:space="preserve">his </w:t>
      </w:r>
      <w:r w:rsidRPr="00CF0C08">
        <w:rPr>
          <w:rFonts w:ascii="Times New Roman" w:hAnsi="Times New Roman" w:hint="eastAsia"/>
        </w:rPr>
        <w:t>model has been verified by many experimental studies</w:t>
      </w:r>
      <w:r w:rsidR="00FC5C19">
        <w:rPr>
          <w:rFonts w:ascii="Times New Roman" w:hAnsi="Times New Roman" w:hint="eastAsia"/>
        </w:rPr>
        <w:t xml:space="preserve"> </w:t>
      </w:r>
      <w:bookmarkStart w:id="3" w:name="_Hlk185930456"/>
      <w:r w:rsidR="00FC5C19">
        <w:rPr>
          <w:rFonts w:ascii="Times New Roman" w:hAnsi="Times New Roman"/>
        </w:rPr>
        <w:fldChar w:fldCharType="begin"/>
      </w:r>
      <w:r w:rsidR="00FC5C19">
        <w:rPr>
          <w:rFonts w:ascii="Times New Roman" w:hAnsi="Times New Roman"/>
        </w:rPr>
        <w:instrText xml:space="preserve"> ADDIN ZOTERO_ITEM CSL_CITATION {"citationID":"zDPR7MFH","properties":{"formattedCitation":"(You et al., 2022)","plainCitation":"(You et al., 2022)","noteIndex":0},"citationItems":[{"id":3667,"uris":["http://zotero.org/users/10011104/items/FT6R9W49"],"itemData":{"id":3667,"type":"article-journal","abstract":"Different models have been proposed to investigate and predict the carbonation process of cement-based materials. This paper firstly introduces the ca…","container-title":"Cement and Concrete Composites","DOI":"10.1016/j.cemconcomp.2021.104315","ISSN":"0958-9465","language":"en-US","note":"publisher: Elsevier","page":"104315","source":"www.sciencedirect.com","title":"A review on the modelling of carbonation of hardened and fresh cement-based materials","volume":"125","author":[{"family":"You","given":"Xujia"},{"family":"Hu","given":"Xiang"},{"family":"He","given":"Pingping"},{"family":"Liu","given":"Jianhui"},{"family":"Shi","given":"Caijun"}],"issued":{"date-parts":[["2022",1,1]]}}}],"schema":"https://github.com/citation-style-language/schema/raw/master/csl-citation.json"} </w:instrText>
      </w:r>
      <w:r w:rsidR="00FC5C19">
        <w:rPr>
          <w:rFonts w:ascii="Times New Roman" w:hAnsi="Times New Roman"/>
        </w:rPr>
        <w:fldChar w:fldCharType="separate"/>
      </w:r>
      <w:r w:rsidR="00FC5C19" w:rsidRPr="00FC5C19">
        <w:rPr>
          <w:rFonts w:ascii="Times New Roman" w:hAnsi="Times New Roman" w:cs="Times New Roman" w:hint="eastAsia"/>
        </w:rPr>
        <w:t>(You et al., 2022)</w:t>
      </w:r>
      <w:r w:rsidR="00FC5C19">
        <w:rPr>
          <w:rFonts w:ascii="Times New Roman" w:hAnsi="Times New Roman"/>
        </w:rPr>
        <w:fldChar w:fldCharType="end"/>
      </w:r>
      <w:bookmarkEnd w:id="3"/>
      <w:r>
        <w:rPr>
          <w:rFonts w:ascii="Times New Roman" w:hAnsi="Times New Roman" w:hint="eastAsia"/>
        </w:rPr>
        <w:t xml:space="preserve">, </w:t>
      </w:r>
      <w:r w:rsidRPr="00CF0C08">
        <w:rPr>
          <w:rFonts w:ascii="Times New Roman" w:hAnsi="Times New Roman" w:hint="eastAsia"/>
        </w:rPr>
        <w:t>Figure 1 shows that the overall carbonation depth of the cement under different treatment is linearly related to the square root of time, with correlation coefficients above 97%.</w:t>
      </w:r>
    </w:p>
    <w:p w14:paraId="4D910D7A" w14:textId="3D8EF618" w:rsidR="00CF0C08" w:rsidRDefault="00CF0C08" w:rsidP="00852A17">
      <w:pPr>
        <w:spacing w:before="100" w:beforeAutospacing="1" w:after="100" w:afterAutospacing="1"/>
        <w:ind w:left="720"/>
        <w:jc w:val="center"/>
        <w:rPr>
          <w:rFonts w:ascii="Times New Roman" w:hAnsi="Times New Roman"/>
        </w:rPr>
      </w:pPr>
      <w:r>
        <w:rPr>
          <w:rFonts w:ascii="Times New Roman" w:hAnsi="Times New Roman"/>
          <w:noProof/>
        </w:rPr>
        <w:lastRenderedPageBreak/>
        <w:drawing>
          <wp:inline distT="0" distB="0" distL="0" distR="0" wp14:anchorId="542CD131" wp14:editId="6B6C7346">
            <wp:extent cx="3622968" cy="3037114"/>
            <wp:effectExtent l="0" t="0" r="0" b="0"/>
            <wp:docPr id="122998890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661327" cy="3069270"/>
                    </a:xfrm>
                    <a:prstGeom prst="rect">
                      <a:avLst/>
                    </a:prstGeom>
                    <a:noFill/>
                  </pic:spPr>
                </pic:pic>
              </a:graphicData>
            </a:graphic>
          </wp:inline>
        </w:drawing>
      </w:r>
    </w:p>
    <w:p w14:paraId="31191B07" w14:textId="75975C42" w:rsidR="00CF0C08" w:rsidRDefault="00CF0C08" w:rsidP="00852A17">
      <w:pPr>
        <w:spacing w:before="100" w:beforeAutospacing="1" w:after="100" w:afterAutospacing="1"/>
        <w:ind w:left="720"/>
        <w:rPr>
          <w:rFonts w:ascii="Times New Roman" w:hAnsi="Times New Roman"/>
        </w:rPr>
      </w:pPr>
      <w:r>
        <w:rPr>
          <w:rFonts w:ascii="Times New Roman" w:hAnsi="Times New Roman" w:hint="eastAsia"/>
        </w:rPr>
        <w:t xml:space="preserve">Figure 1. </w:t>
      </w:r>
      <w:r w:rsidRPr="00CF0C08">
        <w:rPr>
          <w:rFonts w:ascii="Times New Roman" w:hAnsi="Times New Roman"/>
        </w:rPr>
        <w:t>The relationship between carbonation depth and square root of time</w:t>
      </w:r>
      <w:r w:rsidR="006426AD">
        <w:rPr>
          <w:rFonts w:ascii="Times New Roman" w:hAnsi="Times New Roman" w:hint="eastAsia"/>
        </w:rPr>
        <w:t xml:space="preserve">. W/C: </w:t>
      </w:r>
      <w:r w:rsidR="006426AD" w:rsidRPr="006426AD">
        <w:rPr>
          <w:rFonts w:ascii="Times New Roman" w:hAnsi="Times New Roman" w:hint="eastAsia"/>
        </w:rPr>
        <w:t>water-cement ratio</w:t>
      </w:r>
      <w:r w:rsidR="006426AD">
        <w:rPr>
          <w:rFonts w:ascii="Times New Roman" w:hAnsi="Times New Roman" w:hint="eastAsia"/>
        </w:rPr>
        <w:t xml:space="preserve">; a/e: </w:t>
      </w:r>
      <w:r w:rsidR="006426AD" w:rsidRPr="006426AD">
        <w:rPr>
          <w:rFonts w:ascii="Times New Roman" w:hAnsi="Times New Roman" w:hint="eastAsia"/>
        </w:rPr>
        <w:t>aggregate-cement ratio</w:t>
      </w:r>
      <w:r w:rsidR="006426AD">
        <w:rPr>
          <w:rFonts w:ascii="Times New Roman" w:hAnsi="Times New Roman" w:hint="eastAsia"/>
        </w:rPr>
        <w:t>; RH:</w:t>
      </w:r>
      <w:r w:rsidR="006426AD" w:rsidRPr="006426AD">
        <w:rPr>
          <w:rFonts w:hint="eastAsia"/>
        </w:rPr>
        <w:t xml:space="preserve"> </w:t>
      </w:r>
      <w:r w:rsidR="006426AD" w:rsidRPr="006426AD">
        <w:rPr>
          <w:rFonts w:ascii="Times New Roman" w:hAnsi="Times New Roman" w:hint="eastAsia"/>
        </w:rPr>
        <w:t>relative humidity</w:t>
      </w:r>
      <w:r w:rsidR="006426AD">
        <w:rPr>
          <w:rFonts w:ascii="Times New Roman" w:hAnsi="Times New Roman" w:hint="eastAsia"/>
        </w:rPr>
        <w:t>; FA:</w:t>
      </w:r>
      <w:r w:rsidR="006426AD" w:rsidRPr="006426AD">
        <w:rPr>
          <w:rFonts w:hint="eastAsia"/>
        </w:rPr>
        <w:t xml:space="preserve"> </w:t>
      </w:r>
      <w:r w:rsidR="006426AD" w:rsidRPr="006426AD">
        <w:rPr>
          <w:rFonts w:ascii="Times New Roman" w:hAnsi="Times New Roman" w:hint="eastAsia"/>
        </w:rPr>
        <w:t>the dosage of fly ash</w:t>
      </w:r>
      <w:r>
        <w:rPr>
          <w:rFonts w:ascii="Times New Roman" w:hAnsi="Times New Roman" w:hint="eastAsia"/>
        </w:rPr>
        <w:t xml:space="preserve"> (source: </w:t>
      </w:r>
      <w:r w:rsidR="00FC5C19" w:rsidRPr="00FC5C19">
        <w:rPr>
          <w:rFonts w:ascii="Times New Roman" w:hAnsi="Times New Roman" w:cs="Times New Roman" w:hint="eastAsia"/>
        </w:rPr>
        <w:t>You et al., 2022</w:t>
      </w:r>
      <w:r w:rsidR="006426AD">
        <w:rPr>
          <w:rFonts w:ascii="Times New Roman" w:hAnsi="Times New Roman" w:cs="Times New Roman" w:hint="eastAsia"/>
        </w:rPr>
        <w:t xml:space="preserve">. DOI: </w:t>
      </w:r>
      <w:r w:rsidR="006426AD" w:rsidRPr="006426AD">
        <w:rPr>
          <w:rFonts w:ascii="Times New Roman" w:hAnsi="Times New Roman" w:cs="Times New Roman" w:hint="eastAsia"/>
        </w:rPr>
        <w:t>10.1016/j.cemconcomp.2021.104315</w:t>
      </w:r>
      <w:r w:rsidR="00FC5C19">
        <w:rPr>
          <w:rFonts w:ascii="Times New Roman" w:hAnsi="Times New Roman" w:cs="Times New Roman" w:hint="eastAsia"/>
        </w:rPr>
        <w:t>)</w:t>
      </w:r>
    </w:p>
    <w:p w14:paraId="74C891CF" w14:textId="3E5A9BA4" w:rsidR="00534216" w:rsidRDefault="00FC5C19" w:rsidP="00852A17">
      <w:pPr>
        <w:spacing w:before="100" w:beforeAutospacing="1" w:after="100" w:afterAutospacing="1"/>
        <w:ind w:left="720"/>
        <w:rPr>
          <w:rFonts w:ascii="Times New Roman" w:hAnsi="Times New Roman"/>
        </w:rPr>
      </w:pPr>
      <w:r w:rsidRPr="00CB3A11">
        <w:rPr>
          <w:rFonts w:ascii="Times New Roman" w:hAnsi="Times New Roman"/>
        </w:rPr>
        <w:t>Th</w:t>
      </w:r>
      <w:r w:rsidR="00D4202B">
        <w:rPr>
          <w:rFonts w:ascii="Times New Roman" w:hAnsi="Times New Roman" w:hint="eastAsia"/>
        </w:rPr>
        <w:t>is</w:t>
      </w:r>
      <w:r w:rsidRPr="00CB3A11">
        <w:rPr>
          <w:rFonts w:ascii="Times New Roman" w:hAnsi="Times New Roman"/>
        </w:rPr>
        <w:t xml:space="preserve"> </w:t>
      </w:r>
      <w:r w:rsidR="00D4202B">
        <w:rPr>
          <w:rFonts w:ascii="Times New Roman" w:hAnsi="Times New Roman" w:hint="eastAsia"/>
        </w:rPr>
        <w:t>e</w:t>
      </w:r>
      <w:r w:rsidR="00D4202B" w:rsidRPr="00D4202B">
        <w:rPr>
          <w:rFonts w:ascii="Times New Roman" w:hAnsi="Times New Roman"/>
        </w:rPr>
        <w:t>mpirical model</w:t>
      </w:r>
      <w:r w:rsidR="00D4202B">
        <w:rPr>
          <w:rFonts w:ascii="Times New Roman" w:hAnsi="Times New Roman" w:hint="eastAsia"/>
        </w:rPr>
        <w:t xml:space="preserve"> </w:t>
      </w:r>
      <w:r w:rsidRPr="00CB3A11">
        <w:rPr>
          <w:rFonts w:ascii="Times New Roman" w:hAnsi="Times New Roman"/>
        </w:rPr>
        <w:t xml:space="preserve">is further </w:t>
      </w:r>
      <w:r w:rsidR="00D4202B" w:rsidRPr="00CB3A11">
        <w:rPr>
          <w:rFonts w:ascii="Times New Roman" w:hAnsi="Times New Roman"/>
        </w:rPr>
        <w:t xml:space="preserve">adapted based on the type of concrete used </w:t>
      </w:r>
      <w:r w:rsidRPr="00CB3A11">
        <w:rPr>
          <w:rFonts w:ascii="Times New Roman" w:hAnsi="Times New Roman"/>
        </w:rPr>
        <w:t xml:space="preserve">in </w:t>
      </w:r>
      <w:r w:rsidR="00D4202B" w:rsidRPr="006E4C52">
        <w:rPr>
          <w:rFonts w:ascii="Times New Roman" w:hAnsi="Times New Roman"/>
        </w:rPr>
        <w:t>the CO</w:t>
      </w:r>
      <w:r w:rsidR="00D4202B" w:rsidRPr="006E4C52">
        <w:rPr>
          <w:rFonts w:ascii="Times New Roman" w:hAnsi="Times New Roman" w:cs="Times New Roman"/>
        </w:rPr>
        <w:t>₂</w:t>
      </w:r>
      <w:r w:rsidR="00D4202B" w:rsidRPr="006E4C52">
        <w:rPr>
          <w:rFonts w:ascii="Times New Roman" w:hAnsi="Times New Roman"/>
        </w:rPr>
        <w:t xml:space="preserve"> uptake model</w:t>
      </w:r>
      <w:r w:rsidR="00D4202B" w:rsidRPr="00CB3A11">
        <w:rPr>
          <w:rFonts w:ascii="Times New Roman" w:hAnsi="Times New Roman"/>
        </w:rPr>
        <w:t xml:space="preserve"> </w:t>
      </w:r>
      <w:r w:rsidR="00D4202B">
        <w:rPr>
          <w:rFonts w:ascii="Times New Roman" w:hAnsi="Times New Roman" w:hint="eastAsia"/>
        </w:rPr>
        <w:t>(</w:t>
      </w:r>
      <w:r w:rsidRPr="00CB3A11">
        <w:rPr>
          <w:rFonts w:ascii="Times New Roman" w:hAnsi="Times New Roman"/>
        </w:rPr>
        <w:t>Table 1</w:t>
      </w:r>
      <w:r w:rsidR="00D4202B">
        <w:rPr>
          <w:rFonts w:ascii="Times New Roman" w:hAnsi="Times New Roman" w:hint="eastAsia"/>
        </w:rPr>
        <w:t xml:space="preserve"> in Manuscript)</w:t>
      </w:r>
      <w:r w:rsidRPr="00CB3A11">
        <w:rPr>
          <w:rFonts w:ascii="Times New Roman" w:hAnsi="Times New Roman"/>
        </w:rPr>
        <w:t>. Under this framework, the carbonation depth of cementitious materials is tied to the square root of their exposure time, meaning the annual rate of carbonation slows over time.</w:t>
      </w:r>
      <w:r w:rsidR="00D4202B">
        <w:rPr>
          <w:rFonts w:ascii="Times New Roman" w:hAnsi="Times New Roman" w:hint="eastAsia"/>
        </w:rPr>
        <w:t xml:space="preserve"> </w:t>
      </w:r>
      <w:r w:rsidR="001A072A" w:rsidRPr="001A072A">
        <w:rPr>
          <w:rFonts w:ascii="Times New Roman" w:hAnsi="Times New Roman" w:hint="eastAsia"/>
        </w:rPr>
        <w:t>The connotations of the model have been fully explained in our previous studies, and details can be found in the Methods part and Supplementary Figure</w:t>
      </w:r>
      <w:r w:rsidR="006426AD">
        <w:rPr>
          <w:rFonts w:ascii="Times New Roman" w:hAnsi="Times New Roman" w:hint="eastAsia"/>
        </w:rPr>
        <w:t xml:space="preserve"> </w:t>
      </w:r>
      <w:r w:rsidR="001A072A" w:rsidRPr="001A072A">
        <w:rPr>
          <w:rFonts w:ascii="Times New Roman" w:hAnsi="Times New Roman" w:hint="eastAsia"/>
        </w:rPr>
        <w:t>3 in</w:t>
      </w:r>
      <w:r w:rsidR="001A072A">
        <w:rPr>
          <w:rFonts w:ascii="Times New Roman" w:hAnsi="Times New Roman" w:hint="eastAsia"/>
        </w:rPr>
        <w:t xml:space="preserve"> </w:t>
      </w:r>
      <w:r w:rsidR="001A072A">
        <w:rPr>
          <w:rFonts w:ascii="Times New Roman" w:hAnsi="Times New Roman"/>
        </w:rPr>
        <w:fldChar w:fldCharType="begin"/>
      </w:r>
      <w:r w:rsidR="0046682E">
        <w:rPr>
          <w:rFonts w:ascii="Times New Roman" w:hAnsi="Times New Roman"/>
        </w:rPr>
        <w:instrText xml:space="preserve"> ADDIN ZOTERO_ITEM CSL_CITATION {"citationID":"JCAf8c1i","properties":{"formattedCitation":"(Xi et al., 2016)","plainCitation":"(Xi et al., 2016)","dontUpdate":true,"noteIndex":0},"citationItems":[{"id":2304,"uris":["http://zotero.org/users/10011104/items/Y5UEED99"],"itemData":{"id":2304,"type":"article-journal","abstract":"Cement production is a source of CO2. Analysis of carbonation, a process that sequesters CO2 during the lifetime of cement, suggests that between 1930 and 2013, it has offset 43% of CO2 emissions from cement production globally.","call-number":"1","container-title":"Nature Geoscience","DOI":"10.1038/ngeo2840","ISSN":"1752-0908","issue":"12","journalAbbreviation":"Nature Geosci","language":"en","license":"2016 Springer Nature Limited","note":"publisher: Nature Publishing Group","page":"880-883","source":"18.3","title":"Substantial global carbon uptake by cement carbonation","volume":"9","author":[{"family":"Xi","given":"Fengming"},{"family":"Davis","given":"Steven J."},{"family":"Ciais","given":"Philippe"},{"family":"Crawford-Brown","given":"Douglas"},{"family":"Guan","given":"Dabo"},{"family":"Pade","given":"Claus"},{"family":"Shi","given":"Tiemao"},{"family":"Syddall","given":"Mark"},{"family":"Lv","given":"Jie"},{"family":"Ji","given":"Lanzhu"},{"family":"Bing","given":"Longfei"},{"family":"Wang","given":"Jiaoyue"},{"family":"Wei","given":"Wei"},{"family":"Yang","given":"Keun-Hyeok"},{"family":"Lagerblad","given":"Björn"},{"family":"Galan","given":"Isabel"},{"family":"Andrade","given":"Carmen"},{"family":"Zhang","given":"Ying"},{"family":"Liu","given":"Zhu"}],"issued":{"date-parts":[["2016",12]]}}}],"schema":"https://github.com/citation-style-language/schema/raw/master/csl-citation.json"} </w:instrText>
      </w:r>
      <w:r w:rsidR="001A072A">
        <w:rPr>
          <w:rFonts w:ascii="Times New Roman" w:hAnsi="Times New Roman"/>
        </w:rPr>
        <w:fldChar w:fldCharType="separate"/>
      </w:r>
      <w:r w:rsidR="001A072A" w:rsidRPr="001A072A">
        <w:rPr>
          <w:rFonts w:ascii="Times New Roman" w:hAnsi="Times New Roman" w:cs="Times New Roman" w:hint="eastAsia"/>
        </w:rPr>
        <w:t>Xi et al (2016)</w:t>
      </w:r>
      <w:r w:rsidR="001A072A">
        <w:rPr>
          <w:rFonts w:ascii="Times New Roman" w:hAnsi="Times New Roman"/>
        </w:rPr>
        <w:fldChar w:fldCharType="end"/>
      </w:r>
      <w:r w:rsidR="001A072A" w:rsidRPr="001A072A">
        <w:rPr>
          <w:rFonts w:ascii="Times New Roman" w:hAnsi="Times New Roman" w:hint="eastAsia"/>
        </w:rPr>
        <w:t>.</w:t>
      </w:r>
      <w:r w:rsidR="001A072A">
        <w:rPr>
          <w:rFonts w:ascii="Times New Roman" w:hAnsi="Times New Roman" w:hint="eastAsia"/>
        </w:rPr>
        <w:t xml:space="preserve"> Considering that this study is mainly further update of the result of cement carbon uptake, the methods part is not repeated. </w:t>
      </w:r>
      <w:r w:rsidR="001A072A" w:rsidRPr="001A072A">
        <w:rPr>
          <w:rFonts w:ascii="Times New Roman" w:hAnsi="Times New Roman" w:hint="eastAsia"/>
        </w:rPr>
        <w:t>However, as you mentioned in your comment, we have further refined the results to better demonstrate this feature.</w:t>
      </w:r>
      <w:r w:rsidR="001A072A">
        <w:rPr>
          <w:rFonts w:ascii="Times New Roman" w:hAnsi="Times New Roman" w:hint="eastAsia"/>
        </w:rPr>
        <w:t xml:space="preserve"> </w:t>
      </w:r>
      <w:r w:rsidR="001A072A" w:rsidRPr="001A072A">
        <w:rPr>
          <w:rFonts w:ascii="Times New Roman" w:hAnsi="Times New Roman" w:hint="eastAsia"/>
        </w:rPr>
        <w:t>Specifically</w:t>
      </w:r>
      <w:r w:rsidR="001A072A">
        <w:rPr>
          <w:rFonts w:ascii="Times New Roman" w:hAnsi="Times New Roman" w:hint="eastAsia"/>
        </w:rPr>
        <w:t xml:space="preserve">, </w:t>
      </w:r>
      <w:r w:rsidR="00093BC5" w:rsidRPr="00093BC5">
        <w:rPr>
          <w:rFonts w:ascii="Times New Roman" w:hAnsi="Times New Roman" w:hint="eastAsia"/>
        </w:rPr>
        <w:t>we have included the time</w:t>
      </w:r>
      <w:r w:rsidR="00093BC5">
        <w:rPr>
          <w:rFonts w:ascii="Times New Roman" w:hAnsi="Times New Roman" w:hint="eastAsia"/>
        </w:rPr>
        <w:t>-</w:t>
      </w:r>
      <w:r w:rsidR="00093BC5" w:rsidRPr="00093BC5">
        <w:rPr>
          <w:rFonts w:ascii="Times New Roman" w:hAnsi="Times New Roman" w:hint="eastAsia"/>
        </w:rPr>
        <w:t xml:space="preserve">lag data for </w:t>
      </w:r>
      <w:r w:rsidR="004A74DC">
        <w:rPr>
          <w:rFonts w:ascii="Times New Roman" w:hAnsi="Times New Roman" w:hint="eastAsia"/>
        </w:rPr>
        <w:t xml:space="preserve">cement </w:t>
      </w:r>
      <w:r w:rsidR="00093BC5" w:rsidRPr="00093BC5">
        <w:rPr>
          <w:rFonts w:ascii="Times New Roman" w:hAnsi="Times New Roman" w:hint="eastAsia"/>
        </w:rPr>
        <w:t>carbon uptake in the supplementary data file</w:t>
      </w:r>
      <w:r w:rsidR="004A74DC">
        <w:rPr>
          <w:rFonts w:ascii="Times New Roman" w:hAnsi="Times New Roman" w:hint="eastAsia"/>
        </w:rPr>
        <w:t xml:space="preserve"> (SI data 2 in SI table 3)</w:t>
      </w:r>
      <w:r w:rsidR="00093BC5" w:rsidRPr="00093BC5">
        <w:rPr>
          <w:rFonts w:ascii="Times New Roman" w:hAnsi="Times New Roman" w:hint="eastAsia"/>
        </w:rPr>
        <w:t xml:space="preserve">. The </w:t>
      </w:r>
      <w:r w:rsidR="001F3F87">
        <w:rPr>
          <w:rFonts w:ascii="Times New Roman" w:hAnsi="Times New Roman" w:hint="eastAsia"/>
        </w:rPr>
        <w:t>F</w:t>
      </w:r>
      <w:r w:rsidR="00093BC5" w:rsidRPr="00093BC5">
        <w:rPr>
          <w:rFonts w:ascii="Times New Roman" w:hAnsi="Times New Roman" w:hint="eastAsia"/>
        </w:rPr>
        <w:t>igure</w:t>
      </w:r>
      <w:r w:rsidR="001F3F87">
        <w:rPr>
          <w:rFonts w:ascii="Times New Roman" w:hAnsi="Times New Roman" w:hint="eastAsia"/>
        </w:rPr>
        <w:t xml:space="preserve"> </w:t>
      </w:r>
      <w:r w:rsidR="004E0DC0">
        <w:rPr>
          <w:rFonts w:ascii="Times New Roman" w:hAnsi="Times New Roman" w:hint="eastAsia"/>
        </w:rPr>
        <w:t>2</w:t>
      </w:r>
      <w:r w:rsidR="00093BC5" w:rsidRPr="00093BC5">
        <w:rPr>
          <w:rFonts w:ascii="Times New Roman" w:hAnsi="Times New Roman" w:hint="eastAsia"/>
        </w:rPr>
        <w:t xml:space="preserve"> below highlights the time</w:t>
      </w:r>
      <w:r w:rsidR="00093BC5">
        <w:rPr>
          <w:rFonts w:ascii="Times New Roman" w:hAnsi="Times New Roman" w:hint="eastAsia"/>
        </w:rPr>
        <w:t>-</w:t>
      </w:r>
      <w:r w:rsidR="00093BC5" w:rsidRPr="00093BC5">
        <w:rPr>
          <w:rFonts w:ascii="Times New Roman" w:hAnsi="Times New Roman" w:hint="eastAsia"/>
        </w:rPr>
        <w:t xml:space="preserve">lag effect on carbon uptake </w:t>
      </w:r>
      <w:r w:rsidR="004E0DC0">
        <w:rPr>
          <w:rFonts w:ascii="Times New Roman" w:hAnsi="Times New Roman" w:hint="eastAsia"/>
        </w:rPr>
        <w:t>by</w:t>
      </w:r>
      <w:r w:rsidR="00093BC5" w:rsidRPr="00093BC5">
        <w:rPr>
          <w:rFonts w:ascii="Times New Roman" w:hAnsi="Times New Roman" w:hint="eastAsia"/>
        </w:rPr>
        <w:t xml:space="preserve"> </w:t>
      </w:r>
      <w:r w:rsidR="0028183E">
        <w:rPr>
          <w:rFonts w:ascii="Times New Roman" w:hAnsi="Times New Roman" w:hint="eastAsia"/>
        </w:rPr>
        <w:t>cement</w:t>
      </w:r>
      <w:r w:rsidR="00093BC5" w:rsidRPr="00093BC5">
        <w:rPr>
          <w:rFonts w:ascii="Times New Roman" w:hAnsi="Times New Roman" w:hint="eastAsia"/>
        </w:rPr>
        <w:t xml:space="preserve"> from 1928 to 202</w:t>
      </w:r>
      <w:r w:rsidR="0028183E">
        <w:rPr>
          <w:rFonts w:ascii="Times New Roman" w:hAnsi="Times New Roman" w:hint="eastAsia"/>
        </w:rPr>
        <w:t>4</w:t>
      </w:r>
      <w:r w:rsidR="004E0DC0">
        <w:rPr>
          <w:rFonts w:ascii="Times New Roman" w:hAnsi="Times New Roman" w:hint="eastAsia"/>
        </w:rPr>
        <w:t xml:space="preserve"> </w:t>
      </w:r>
      <w:r w:rsidR="001F3F87">
        <w:rPr>
          <w:rFonts w:ascii="Times New Roman" w:hAnsi="Times New Roman" w:hint="eastAsia"/>
        </w:rPr>
        <w:t>(</w:t>
      </w:r>
      <w:r w:rsidR="004E0DC0">
        <w:rPr>
          <w:rFonts w:ascii="Times New Roman" w:hAnsi="Times New Roman" w:hint="eastAsia"/>
        </w:rPr>
        <w:t>it</w:t>
      </w:r>
      <w:r w:rsidR="001F3F87" w:rsidRPr="001F3F87">
        <w:rPr>
          <w:rFonts w:ascii="Times New Roman" w:hAnsi="Times New Roman" w:hint="eastAsia"/>
        </w:rPr>
        <w:t xml:space="preserve"> is a refinement of the historical year carbon uptake in Figure 1e </w:t>
      </w:r>
      <w:r w:rsidR="001F3F87">
        <w:rPr>
          <w:rFonts w:ascii="Times New Roman" w:hAnsi="Times New Roman" w:hint="eastAsia"/>
        </w:rPr>
        <w:t>in</w:t>
      </w:r>
      <w:r w:rsidR="001F3F87" w:rsidRPr="001F3F87">
        <w:rPr>
          <w:rFonts w:ascii="Times New Roman" w:hAnsi="Times New Roman" w:hint="eastAsia"/>
        </w:rPr>
        <w:t xml:space="preserve"> the manuscript</w:t>
      </w:r>
      <w:r w:rsidR="001F3F87">
        <w:rPr>
          <w:rFonts w:ascii="Times New Roman" w:hAnsi="Times New Roman" w:hint="eastAsia"/>
        </w:rPr>
        <w:t>).</w:t>
      </w:r>
      <w:r w:rsidR="00093BC5" w:rsidRPr="00093BC5">
        <w:rPr>
          <w:rFonts w:ascii="Times New Roman" w:hAnsi="Times New Roman" w:hint="eastAsia"/>
        </w:rPr>
        <w:t xml:space="preserve"> As shown, the carbon uptake of the same batch of cement materials gradually decreases over time.</w:t>
      </w:r>
      <w:r w:rsidR="00093BC5">
        <w:rPr>
          <w:rFonts w:ascii="Times New Roman" w:hAnsi="Times New Roman" w:hint="eastAsia"/>
        </w:rPr>
        <w:t xml:space="preserve"> </w:t>
      </w:r>
      <w:r w:rsidR="00534216" w:rsidRPr="00534216">
        <w:rPr>
          <w:rFonts w:ascii="Times New Roman" w:hAnsi="Times New Roman"/>
        </w:rPr>
        <w:t>For example, the carbon sequestration</w:t>
      </w:r>
      <w:r w:rsidR="00534216">
        <w:rPr>
          <w:rFonts w:ascii="Times New Roman" w:hAnsi="Times New Roman" w:hint="eastAsia"/>
        </w:rPr>
        <w:t xml:space="preserve"> from global </w:t>
      </w:r>
      <w:r w:rsidR="004E0DC0">
        <w:rPr>
          <w:rFonts w:ascii="Times New Roman" w:hAnsi="Times New Roman" w:hint="eastAsia"/>
        </w:rPr>
        <w:t>cement</w:t>
      </w:r>
      <w:r w:rsidR="00534216">
        <w:rPr>
          <w:rFonts w:ascii="Times New Roman" w:hAnsi="Times New Roman" w:hint="eastAsia"/>
        </w:rPr>
        <w:t xml:space="preserve"> consumption in 19</w:t>
      </w:r>
      <w:r w:rsidR="006426AD">
        <w:rPr>
          <w:rFonts w:ascii="Times New Roman" w:hAnsi="Times New Roman" w:hint="eastAsia"/>
        </w:rPr>
        <w:t>90</w:t>
      </w:r>
      <w:r w:rsidR="00534216">
        <w:rPr>
          <w:rFonts w:ascii="Times New Roman" w:hAnsi="Times New Roman" w:hint="eastAsia"/>
        </w:rPr>
        <w:t xml:space="preserve"> amounted to </w:t>
      </w:r>
      <w:r w:rsidR="006426AD">
        <w:rPr>
          <w:rFonts w:ascii="Times New Roman" w:hAnsi="Times New Roman" w:hint="eastAsia"/>
        </w:rPr>
        <w:t>121.0</w:t>
      </w:r>
      <w:r w:rsidR="00534216" w:rsidRPr="00534216">
        <w:rPr>
          <w:rFonts w:ascii="Times New Roman" w:hAnsi="Times New Roman"/>
        </w:rPr>
        <w:t xml:space="preserve"> Mt CO₂ during that year, whereas by 202</w:t>
      </w:r>
      <w:r w:rsidR="006426AD">
        <w:rPr>
          <w:rFonts w:ascii="Times New Roman" w:hAnsi="Times New Roman" w:hint="eastAsia"/>
        </w:rPr>
        <w:t>3</w:t>
      </w:r>
      <w:r w:rsidR="00534216" w:rsidRPr="00534216">
        <w:rPr>
          <w:rFonts w:ascii="Times New Roman" w:hAnsi="Times New Roman"/>
        </w:rPr>
        <w:t xml:space="preserve">, the sequestration from the same </w:t>
      </w:r>
      <w:r w:rsidR="004E0DC0">
        <w:rPr>
          <w:rFonts w:ascii="Times New Roman" w:hAnsi="Times New Roman" w:hint="eastAsia"/>
        </w:rPr>
        <w:t>cement</w:t>
      </w:r>
      <w:r w:rsidR="00534216" w:rsidRPr="00534216">
        <w:rPr>
          <w:rFonts w:ascii="Times New Roman" w:hAnsi="Times New Roman"/>
        </w:rPr>
        <w:t xml:space="preserve"> has decreased to only </w:t>
      </w:r>
      <w:r w:rsidR="006426AD">
        <w:rPr>
          <w:rFonts w:ascii="Times New Roman" w:hAnsi="Times New Roman" w:hint="eastAsia"/>
        </w:rPr>
        <w:t>2.0</w:t>
      </w:r>
      <w:r w:rsidR="00534216" w:rsidRPr="00534216">
        <w:rPr>
          <w:rFonts w:ascii="Times New Roman" w:hAnsi="Times New Roman"/>
        </w:rPr>
        <w:t xml:space="preserve"> Mt CO₂.</w:t>
      </w:r>
    </w:p>
    <w:p w14:paraId="6A8A20CC" w14:textId="3A1CE187" w:rsidR="0028183E" w:rsidRDefault="006426AD" w:rsidP="00852A17">
      <w:pPr>
        <w:spacing w:before="100" w:beforeAutospacing="1" w:after="100" w:afterAutospacing="1"/>
        <w:ind w:left="720"/>
        <w:rPr>
          <w:rFonts w:ascii="Times New Roman" w:hAnsi="Times New Roman"/>
        </w:rPr>
      </w:pPr>
      <w:r w:rsidRPr="00CD3D99">
        <w:rPr>
          <w:rFonts w:eastAsia="宋体"/>
          <w:noProof/>
          <w:color w:val="FF0000"/>
        </w:rPr>
        <w:lastRenderedPageBreak/>
        <w:drawing>
          <wp:inline distT="0" distB="0" distL="0" distR="0" wp14:anchorId="0104BA49" wp14:editId="1D27A2BA">
            <wp:extent cx="4767943" cy="2849642"/>
            <wp:effectExtent l="0" t="0" r="0" b="8255"/>
            <wp:docPr id="23458288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777826" cy="2855549"/>
                    </a:xfrm>
                    <a:prstGeom prst="rect">
                      <a:avLst/>
                    </a:prstGeom>
                    <a:noFill/>
                  </pic:spPr>
                </pic:pic>
              </a:graphicData>
            </a:graphic>
          </wp:inline>
        </w:drawing>
      </w:r>
    </w:p>
    <w:p w14:paraId="31B84B7C" w14:textId="66EED1D0" w:rsidR="0028183E" w:rsidRDefault="0028183E" w:rsidP="00852A17">
      <w:pPr>
        <w:spacing w:before="100" w:beforeAutospacing="1" w:after="100" w:afterAutospacing="1"/>
        <w:ind w:left="720"/>
        <w:rPr>
          <w:rFonts w:ascii="Times New Roman" w:hAnsi="Times New Roman"/>
        </w:rPr>
      </w:pPr>
      <w:r>
        <w:rPr>
          <w:rFonts w:ascii="Times New Roman" w:hAnsi="Times New Roman" w:hint="eastAsia"/>
        </w:rPr>
        <w:t xml:space="preserve">Figure 2. </w:t>
      </w:r>
      <w:bookmarkStart w:id="4" w:name="_Hlk185839240"/>
      <w:r>
        <w:rPr>
          <w:rFonts w:ascii="Times New Roman" w:hAnsi="Times New Roman" w:hint="eastAsia"/>
        </w:rPr>
        <w:t>T</w:t>
      </w:r>
      <w:r w:rsidRPr="00093BC5">
        <w:rPr>
          <w:rFonts w:ascii="Times New Roman" w:hAnsi="Times New Roman" w:hint="eastAsia"/>
        </w:rPr>
        <w:t>ime</w:t>
      </w:r>
      <w:r>
        <w:rPr>
          <w:rFonts w:ascii="Times New Roman" w:hAnsi="Times New Roman" w:hint="eastAsia"/>
        </w:rPr>
        <w:t>-</w:t>
      </w:r>
      <w:r w:rsidRPr="00093BC5">
        <w:rPr>
          <w:rFonts w:ascii="Times New Roman" w:hAnsi="Times New Roman" w:hint="eastAsia"/>
        </w:rPr>
        <w:t xml:space="preserve">lag effect on carbon uptake </w:t>
      </w:r>
      <w:r>
        <w:rPr>
          <w:rFonts w:ascii="Times New Roman" w:hAnsi="Times New Roman" w:hint="eastAsia"/>
        </w:rPr>
        <w:t>by</w:t>
      </w:r>
      <w:r w:rsidRPr="00093BC5">
        <w:rPr>
          <w:rFonts w:ascii="Times New Roman" w:hAnsi="Times New Roman" w:hint="eastAsia"/>
        </w:rPr>
        <w:t xml:space="preserve"> </w:t>
      </w:r>
      <w:r>
        <w:rPr>
          <w:rFonts w:ascii="Times New Roman" w:hAnsi="Times New Roman" w:hint="eastAsia"/>
        </w:rPr>
        <w:t>cement</w:t>
      </w:r>
      <w:r w:rsidRPr="00093BC5">
        <w:rPr>
          <w:rFonts w:ascii="Times New Roman" w:hAnsi="Times New Roman" w:hint="eastAsia"/>
        </w:rPr>
        <w:t xml:space="preserve"> from 1928 to 2024</w:t>
      </w:r>
      <w:r>
        <w:rPr>
          <w:rFonts w:ascii="Times New Roman" w:hAnsi="Times New Roman" w:hint="eastAsia"/>
        </w:rPr>
        <w:t>.</w:t>
      </w:r>
      <w:bookmarkEnd w:id="4"/>
      <w:r w:rsidR="003E5168">
        <w:rPr>
          <w:rFonts w:ascii="Times New Roman" w:hAnsi="Times New Roman" w:hint="eastAsia"/>
        </w:rPr>
        <w:t xml:space="preserve"> </w:t>
      </w:r>
      <w:r w:rsidR="003E5168" w:rsidRPr="003E5168">
        <w:rPr>
          <w:rFonts w:ascii="Times New Roman" w:hAnsi="Times New Roman" w:hint="eastAsia"/>
        </w:rPr>
        <w:t xml:space="preserve">Different </w:t>
      </w:r>
      <w:r w:rsidR="003E5168" w:rsidRPr="003E5168">
        <w:rPr>
          <w:rFonts w:ascii="Times New Roman" w:hAnsi="Times New Roman"/>
        </w:rPr>
        <w:t>colors</w:t>
      </w:r>
      <w:r w:rsidR="003E5168" w:rsidRPr="003E5168">
        <w:rPr>
          <w:rFonts w:ascii="Times New Roman" w:hAnsi="Times New Roman" w:hint="eastAsia"/>
        </w:rPr>
        <w:t xml:space="preserve"> represent changes in carbon sequestration over time for different years of consumption of cement.</w:t>
      </w:r>
    </w:p>
    <w:p w14:paraId="1320408B" w14:textId="0EAEC8D8" w:rsidR="006426AD" w:rsidRDefault="00534216" w:rsidP="00852A17">
      <w:pPr>
        <w:spacing w:before="100" w:beforeAutospacing="1" w:after="100" w:afterAutospacing="1"/>
        <w:ind w:left="720"/>
        <w:rPr>
          <w:rFonts w:ascii="Times New Roman" w:hAnsi="Times New Roman" w:cs="Times New Roman"/>
        </w:rPr>
      </w:pPr>
      <w:r w:rsidRPr="00C1215B">
        <w:rPr>
          <w:rFonts w:ascii="Times New Roman" w:hAnsi="Times New Roman" w:hint="eastAsia"/>
          <w:b/>
          <w:bCs/>
          <w:i/>
          <w:iCs/>
          <w:color w:val="FF0000"/>
        </w:rPr>
        <w:t>Changes:</w:t>
      </w:r>
      <w:r>
        <w:rPr>
          <w:rFonts w:ascii="Times New Roman" w:hAnsi="Times New Roman" w:hint="eastAsia"/>
          <w:b/>
          <w:bCs/>
        </w:rPr>
        <w:t xml:space="preserve"> </w:t>
      </w:r>
      <w:r w:rsidR="006426AD" w:rsidRPr="006426AD">
        <w:rPr>
          <w:rFonts w:ascii="Times New Roman" w:hAnsi="Times New Roman" w:hint="eastAsia"/>
        </w:rPr>
        <w:t>We have added year-by-year data on carbon sequestration by cement materials to the annexed results file to demonstrate the time lag effect (SI data 2 in Supplementary table 3,</w:t>
      </w:r>
      <w:r w:rsidR="006426AD" w:rsidRPr="006426AD">
        <w:rPr>
          <w:rFonts w:ascii="Times New Roman" w:hAnsi="Times New Roman" w:cs="Times New Roman"/>
        </w:rPr>
        <w:t xml:space="preserve"> </w:t>
      </w:r>
      <w:bookmarkStart w:id="5" w:name="_Hlk184066143"/>
      <w:r w:rsidR="006426AD" w:rsidRPr="006426AD">
        <w:rPr>
          <w:rFonts w:ascii="Times New Roman" w:eastAsia="宋体" w:hAnsi="Times New Roman" w:cs="Times New Roman"/>
        </w:rPr>
        <w:t>available from</w:t>
      </w:r>
      <w:bookmarkEnd w:id="5"/>
      <w:r w:rsidR="006426AD" w:rsidRPr="006426AD">
        <w:rPr>
          <w:rFonts w:ascii="Times New Roman" w:eastAsia="宋体" w:hAnsi="Times New Roman" w:cs="Times New Roman"/>
        </w:rPr>
        <w:t xml:space="preserve"> </w:t>
      </w:r>
      <w:hyperlink r:id="rId10" w:history="1">
        <w:r w:rsidR="006426AD" w:rsidRPr="006426AD">
          <w:rPr>
            <w:rStyle w:val="a8"/>
            <w:rFonts w:ascii="Times New Roman" w:eastAsia="宋体" w:hAnsi="Times New Roman" w:cs="Times New Roman"/>
            <w:color w:val="auto"/>
          </w:rPr>
          <w:t>https://doi.org/10.5281/zenodo.13827861</w:t>
        </w:r>
      </w:hyperlink>
      <w:r w:rsidR="006426AD" w:rsidRPr="006426AD">
        <w:rPr>
          <w:rFonts w:ascii="Times New Roman" w:eastAsia="宋体" w:hAnsi="Times New Roman" w:cs="Times New Roman"/>
        </w:rPr>
        <w:t xml:space="preserve"> </w:t>
      </w:r>
      <w:r w:rsidR="006426AD" w:rsidRPr="006426AD">
        <w:rPr>
          <w:rFonts w:ascii="Times New Roman" w:eastAsia="宋体" w:hAnsi="Times New Roman" w:cs="Times New Roman"/>
        </w:rPr>
        <w:fldChar w:fldCharType="begin"/>
      </w:r>
      <w:r w:rsidR="0046682E">
        <w:rPr>
          <w:rFonts w:ascii="Times New Roman" w:eastAsia="宋体" w:hAnsi="Times New Roman" w:cs="Times New Roman"/>
        </w:rPr>
        <w:instrText xml:space="preserve"> ADDIN ZOTERO_ITEM CSL_CITATION {"citationID":"CfUKNW9V","properties":{"formattedCitation":"(Wu et al., 2024)","plainCitation":"(Wu et al., 2024)","dontUpdate":true,"noteIndex":0},"citationItems":[{"id":3338,"uris":["http://zotero.org/users/10011104/items/WEHY9K4Q"],"itemData":{"id":3338,"type":"dataset","abstract":"This dataset is associated with the publication on Earth System Science Data, with the same title.It includes five sections including the model inputs of the estimation models, the simulation results of global CO2 emission and uptake by year, the variables and ranges considered in the uncertainty analyses of the uptake estimation and the corresponding confidence intervals from the analyses. For detailed explanations of these datasets, one should should refer to the original manuscript.","DOI":"10.5281/zenodo.13827861","publisher":"Zenodo","source":"Zenodo","title":"Global and national CO2 uptake by cement carbonation from 1928 to 2024","URL":"https://zenodo.org/records/13827861","author":[{"family":"Wu","given":"Songbin"},{"family":"Niu","given":"Le"},{"family":"Wang","given":"Jiaoyue"},{"family":"Xi","given":"Fengming"}],"accessed":{"date-parts":[["2024",9,25]]},"issued":{"date-parts":[["2024",9,23]]}}}],"schema":"https://github.com/citation-style-language/schema/raw/master/csl-citation.json"} </w:instrText>
      </w:r>
      <w:r w:rsidR="006426AD" w:rsidRPr="006426AD">
        <w:rPr>
          <w:rFonts w:ascii="Times New Roman" w:eastAsia="宋体" w:hAnsi="Times New Roman" w:cs="Times New Roman"/>
        </w:rPr>
        <w:fldChar w:fldCharType="separate"/>
      </w:r>
      <w:r w:rsidR="006426AD" w:rsidRPr="006426AD">
        <w:rPr>
          <w:rFonts w:ascii="Times New Roman" w:eastAsia="宋体" w:hAnsi="Times New Roman" w:cs="Times New Roman"/>
        </w:rPr>
        <w:t>Wu et al., 2024)</w:t>
      </w:r>
      <w:r w:rsidR="006426AD" w:rsidRPr="006426AD">
        <w:rPr>
          <w:rFonts w:ascii="Times New Roman" w:eastAsia="宋体" w:hAnsi="Times New Roman" w:cs="Times New Roman"/>
        </w:rPr>
        <w:fldChar w:fldCharType="end"/>
      </w:r>
      <w:r w:rsidR="006426AD">
        <w:rPr>
          <w:rFonts w:ascii="Times New Roman" w:hAnsi="Times New Roman" w:cs="Times New Roman" w:hint="eastAsia"/>
        </w:rPr>
        <w:t xml:space="preserve">. </w:t>
      </w:r>
    </w:p>
    <w:p w14:paraId="3E708012" w14:textId="581238E5" w:rsidR="006426AD" w:rsidRPr="006426AD" w:rsidRDefault="006426AD" w:rsidP="00852A17">
      <w:pPr>
        <w:spacing w:before="100" w:beforeAutospacing="1" w:after="100" w:afterAutospacing="1"/>
        <w:ind w:left="720"/>
        <w:rPr>
          <w:rFonts w:ascii="Times New Roman" w:hAnsi="Times New Roman" w:cs="Times New Roman"/>
        </w:rPr>
      </w:pPr>
      <w:r>
        <w:rPr>
          <w:rFonts w:ascii="Times New Roman" w:hAnsi="Times New Roman" w:cs="Times New Roman" w:hint="eastAsia"/>
        </w:rPr>
        <w:t xml:space="preserve">In addition, </w:t>
      </w:r>
      <w:r w:rsidR="00C1215B">
        <w:rPr>
          <w:rFonts w:ascii="Times New Roman" w:hAnsi="Times New Roman" w:cs="Times New Roman" w:hint="eastAsia"/>
        </w:rPr>
        <w:t>w</w:t>
      </w:r>
      <w:r w:rsidR="00C1215B" w:rsidRPr="00C1215B">
        <w:rPr>
          <w:rFonts w:ascii="Times New Roman" w:hAnsi="Times New Roman" w:cs="Times New Roman"/>
        </w:rPr>
        <w:t>e have added the reference to the method explanations in Section 2.3 and included Figure 2 along with its description in Section 3.1 of the revised draft.</w:t>
      </w:r>
      <w:r>
        <w:rPr>
          <w:rFonts w:ascii="Times New Roman" w:hAnsi="Times New Roman" w:cs="Times New Roman" w:hint="eastAsia"/>
        </w:rPr>
        <w:t xml:space="preserve"> </w:t>
      </w:r>
      <w:r>
        <w:rPr>
          <w:rFonts w:ascii="Times New Roman" w:hAnsi="Times New Roman" w:cs="Times New Roman"/>
        </w:rPr>
        <w:t>“</w:t>
      </w:r>
      <w:r w:rsidRPr="006426AD">
        <w:rPr>
          <w:rFonts w:ascii="Times New Roman" w:hAnsi="Times New Roman" w:cs="Times New Roman" w:hint="eastAsia"/>
        </w:rPr>
        <w:t xml:space="preserve">Specifically, the annual carbonation rate of cementitious materials shows a steady decline (Figure 2). Cement materials </w:t>
      </w:r>
      <w:r w:rsidR="00937F59" w:rsidRPr="00937F59">
        <w:rPr>
          <w:rFonts w:ascii="Times New Roman" w:hAnsi="Times New Roman" w:cs="Times New Roman" w:hint="eastAsia"/>
        </w:rPr>
        <w:t>can</w:t>
      </w:r>
      <w:r w:rsidRPr="006426AD">
        <w:rPr>
          <w:rFonts w:ascii="Times New Roman" w:hAnsi="Times New Roman" w:cs="Times New Roman" w:hint="eastAsia"/>
        </w:rPr>
        <w:t xml:space="preserve"> not fully </w:t>
      </w:r>
      <w:r w:rsidR="00B95E27" w:rsidRPr="006426AD">
        <w:rPr>
          <w:rFonts w:ascii="Times New Roman" w:hAnsi="Times New Roman" w:cs="Times New Roman"/>
        </w:rPr>
        <w:t>carbonize</w:t>
      </w:r>
      <w:r w:rsidRPr="006426AD">
        <w:rPr>
          <w:rFonts w:ascii="Times New Roman" w:hAnsi="Times New Roman" w:cs="Times New Roman" w:hint="eastAsia"/>
        </w:rPr>
        <w:t xml:space="preserve"> in one year, they continue to absorb atmospheric CO</w:t>
      </w:r>
      <w:r w:rsidRPr="00B95E27">
        <w:rPr>
          <w:rFonts w:ascii="Times New Roman" w:hAnsi="Times New Roman" w:cs="Times New Roman" w:hint="eastAsia"/>
          <w:vertAlign w:val="subscript"/>
        </w:rPr>
        <w:t>2</w:t>
      </w:r>
      <w:r w:rsidRPr="006426AD">
        <w:rPr>
          <w:rFonts w:ascii="Times New Roman" w:hAnsi="Times New Roman" w:cs="Times New Roman" w:hint="eastAsia"/>
        </w:rPr>
        <w:t xml:space="preserve"> for the subsequent 100 years. Furthermore, the amount of carbon absorbed decreases as the depth of carbonation increases. For example, the carbon uptake of cement consumed in 1990 was 121 Mt, while the sequestration from the same cement has decreased to only 2.0 Mt in 2023.</w:t>
      </w:r>
      <w:r>
        <w:rPr>
          <w:rFonts w:ascii="Times New Roman" w:hAnsi="Times New Roman" w:cs="Times New Roman"/>
        </w:rPr>
        <w:t>”</w:t>
      </w:r>
    </w:p>
    <w:p w14:paraId="588C5F78" w14:textId="00F765E7" w:rsidR="006E4C52" w:rsidRPr="006E4C52" w:rsidRDefault="006E4C52" w:rsidP="00852A17">
      <w:pPr>
        <w:pStyle w:val="a7"/>
        <w:numPr>
          <w:ilvl w:val="0"/>
          <w:numId w:val="1"/>
        </w:numPr>
        <w:spacing w:before="100" w:beforeAutospacing="1" w:after="100" w:afterAutospacing="1"/>
        <w:ind w:firstLineChars="0"/>
        <w:rPr>
          <w:rFonts w:ascii="Times New Roman" w:hAnsi="Times New Roman"/>
        </w:rPr>
      </w:pPr>
      <w:r w:rsidRPr="006E4C52">
        <w:rPr>
          <w:rFonts w:ascii="Times New Roman" w:hAnsi="Times New Roman"/>
          <w:b/>
          <w:bCs/>
        </w:rPr>
        <w:t>Input Data Summary</w:t>
      </w:r>
    </w:p>
    <w:p w14:paraId="1C3752BE" w14:textId="77777777" w:rsidR="006E4C52" w:rsidRPr="00DD1CA5" w:rsidRDefault="006E4C52" w:rsidP="00852A17">
      <w:pPr>
        <w:spacing w:before="100" w:beforeAutospacing="1" w:after="100" w:afterAutospacing="1"/>
        <w:ind w:left="720"/>
        <w:rPr>
          <w:rFonts w:ascii="Times New Roman" w:hAnsi="Times New Roman"/>
        </w:rPr>
      </w:pPr>
      <w:r w:rsidRPr="00DD1CA5">
        <w:rPr>
          <w:rFonts w:ascii="Times New Roman" w:hAnsi="Times New Roman"/>
        </w:rPr>
        <w:t>It is recommended to summarize the metadata of input data (e.g., time span, resolution, references, and data links) in a table for ease of reference.</w:t>
      </w:r>
    </w:p>
    <w:p w14:paraId="590C1FA2" w14:textId="6B4D6CBD" w:rsidR="00B95E27" w:rsidRDefault="00DD1CA5" w:rsidP="00852A17">
      <w:pPr>
        <w:spacing w:before="100" w:beforeAutospacing="1" w:after="100" w:afterAutospacing="1"/>
        <w:ind w:left="720"/>
        <w:rPr>
          <w:rFonts w:ascii="Times New Roman" w:hAnsi="Times New Roman"/>
        </w:rPr>
      </w:pPr>
      <w:r w:rsidRPr="00C1215B">
        <w:rPr>
          <w:rFonts w:ascii="Times New Roman" w:hAnsi="Times New Roman" w:hint="eastAsia"/>
          <w:b/>
          <w:bCs/>
          <w:i/>
          <w:iCs/>
          <w:color w:val="FF0000"/>
        </w:rPr>
        <w:t>Response:</w:t>
      </w:r>
      <w:r>
        <w:rPr>
          <w:rFonts w:ascii="Times New Roman" w:hAnsi="Times New Roman" w:hint="eastAsia"/>
          <w:b/>
          <w:bCs/>
          <w:color w:val="FF0000"/>
        </w:rPr>
        <w:t xml:space="preserve"> </w:t>
      </w:r>
      <w:r w:rsidR="00B95E27" w:rsidRPr="00B95E27">
        <w:rPr>
          <w:rFonts w:ascii="Times New Roman" w:hAnsi="Times New Roman" w:hint="eastAsia"/>
        </w:rPr>
        <w:t>We sincerely appreciate the detailed review and insightful suggestion.</w:t>
      </w:r>
      <w:r w:rsidR="00B95E27">
        <w:rPr>
          <w:rFonts w:ascii="Times New Roman" w:hAnsi="Times New Roman" w:hint="eastAsia"/>
        </w:rPr>
        <w:t xml:space="preserve"> </w:t>
      </w:r>
      <w:r w:rsidR="006975ED">
        <w:rPr>
          <w:rFonts w:ascii="Times New Roman" w:hAnsi="Times New Roman" w:hint="eastAsia"/>
        </w:rPr>
        <w:t xml:space="preserve">There are </w:t>
      </w:r>
      <w:r w:rsidR="00450188">
        <w:rPr>
          <w:rFonts w:ascii="Times New Roman" w:hAnsi="Times New Roman" w:hint="eastAsia"/>
        </w:rPr>
        <w:t>two</w:t>
      </w:r>
      <w:r w:rsidR="006975ED">
        <w:rPr>
          <w:rFonts w:ascii="Times New Roman" w:hAnsi="Times New Roman" w:hint="eastAsia"/>
        </w:rPr>
        <w:t xml:space="preserve"> input data </w:t>
      </w:r>
      <w:r w:rsidR="00D46F89">
        <w:rPr>
          <w:rFonts w:ascii="Times New Roman" w:hAnsi="Times New Roman" w:hint="eastAsia"/>
        </w:rPr>
        <w:t xml:space="preserve">tables </w:t>
      </w:r>
      <w:r w:rsidR="00211FA3">
        <w:rPr>
          <w:rFonts w:ascii="Times New Roman" w:hAnsi="Times New Roman" w:hint="eastAsia"/>
        </w:rPr>
        <w:t xml:space="preserve">in </w:t>
      </w:r>
      <w:r w:rsidR="00D46F89">
        <w:rPr>
          <w:rFonts w:ascii="Times New Roman" w:hAnsi="Times New Roman" w:hint="eastAsia"/>
        </w:rPr>
        <w:t>the Supplementary tables (SI table1 and SI table2), they are activity level data and cement uptake parameters</w:t>
      </w:r>
      <w:r w:rsidR="00450188">
        <w:rPr>
          <w:rFonts w:ascii="Times New Roman" w:hAnsi="Times New Roman" w:hint="eastAsia"/>
        </w:rPr>
        <w:t xml:space="preserve">, respectively. </w:t>
      </w:r>
      <w:r w:rsidR="0063111C" w:rsidRPr="0063111C">
        <w:rPr>
          <w:rFonts w:ascii="Times New Roman" w:hAnsi="Times New Roman" w:hint="eastAsia"/>
        </w:rPr>
        <w:t xml:space="preserve">We've added </w:t>
      </w:r>
      <w:r w:rsidR="0063111C">
        <w:rPr>
          <w:rFonts w:ascii="Times New Roman" w:hAnsi="Times New Roman" w:hint="eastAsia"/>
        </w:rPr>
        <w:t>the</w:t>
      </w:r>
      <w:r w:rsidR="0063111C" w:rsidRPr="0063111C">
        <w:rPr>
          <w:rFonts w:ascii="Times New Roman" w:hAnsi="Times New Roman" w:hint="eastAsia"/>
        </w:rPr>
        <w:t xml:space="preserve"> summary of the data to the front of the</w:t>
      </w:r>
      <w:r w:rsidR="0063111C">
        <w:rPr>
          <w:rFonts w:ascii="Times New Roman" w:hAnsi="Times New Roman" w:hint="eastAsia"/>
        </w:rPr>
        <w:t>se</w:t>
      </w:r>
      <w:r w:rsidR="0063111C" w:rsidRPr="0063111C">
        <w:rPr>
          <w:rFonts w:ascii="Times New Roman" w:hAnsi="Times New Roman" w:hint="eastAsia"/>
        </w:rPr>
        <w:t xml:space="preserve"> table</w:t>
      </w:r>
      <w:r w:rsidR="0063111C">
        <w:rPr>
          <w:rFonts w:ascii="Times New Roman" w:hAnsi="Times New Roman" w:hint="eastAsia"/>
        </w:rPr>
        <w:t>s based on your suggestion.</w:t>
      </w:r>
    </w:p>
    <w:p w14:paraId="6286134B" w14:textId="1EA3BDA4" w:rsidR="00B95E27" w:rsidRDefault="0063111C" w:rsidP="00852A17">
      <w:pPr>
        <w:spacing w:before="100" w:beforeAutospacing="1" w:after="100" w:afterAutospacing="1"/>
        <w:ind w:left="720"/>
        <w:rPr>
          <w:rFonts w:ascii="Times New Roman" w:hAnsi="Times New Roman"/>
        </w:rPr>
      </w:pPr>
      <w:r w:rsidRPr="00C1215B">
        <w:rPr>
          <w:rFonts w:ascii="Times New Roman" w:hAnsi="Times New Roman" w:hint="eastAsia"/>
          <w:b/>
          <w:bCs/>
          <w:i/>
          <w:iCs/>
          <w:color w:val="FF0000"/>
        </w:rPr>
        <w:t>Changes:</w:t>
      </w:r>
      <w:r>
        <w:rPr>
          <w:rFonts w:ascii="Times New Roman" w:hAnsi="Times New Roman" w:hint="eastAsia"/>
          <w:b/>
          <w:bCs/>
          <w:color w:val="FF0000"/>
        </w:rPr>
        <w:t xml:space="preserve"> </w:t>
      </w:r>
      <w:r>
        <w:rPr>
          <w:rFonts w:ascii="Times New Roman" w:hAnsi="Times New Roman" w:hint="eastAsia"/>
        </w:rPr>
        <w:t xml:space="preserve">We change </w:t>
      </w:r>
      <w:r w:rsidRPr="0063111C">
        <w:rPr>
          <w:rFonts w:ascii="Times New Roman" w:hAnsi="Times New Roman" w:hint="eastAsia"/>
        </w:rPr>
        <w:t xml:space="preserve">the </w:t>
      </w:r>
      <w:r>
        <w:rPr>
          <w:rFonts w:ascii="Times New Roman" w:hAnsi="Times New Roman"/>
        </w:rPr>
        <w:t>“</w:t>
      </w:r>
      <w:r w:rsidRPr="0063111C">
        <w:rPr>
          <w:rFonts w:ascii="Times New Roman" w:hAnsi="Times New Roman" w:hint="eastAsia"/>
        </w:rPr>
        <w:t>Index</w:t>
      </w:r>
      <w:r>
        <w:rPr>
          <w:rFonts w:ascii="Times New Roman" w:hAnsi="Times New Roman"/>
        </w:rPr>
        <w:t>”</w:t>
      </w:r>
      <w:r w:rsidRPr="0063111C">
        <w:rPr>
          <w:rFonts w:ascii="Times New Roman" w:hAnsi="Times New Roman" w:hint="eastAsia"/>
        </w:rPr>
        <w:t xml:space="preserve"> table in the </w:t>
      </w:r>
      <w:r>
        <w:rPr>
          <w:rFonts w:ascii="Times New Roman" w:hAnsi="Times New Roman" w:hint="eastAsia"/>
        </w:rPr>
        <w:t>Supplementary tables (</w:t>
      </w:r>
      <w:r w:rsidRPr="006426AD">
        <w:rPr>
          <w:rFonts w:ascii="Times New Roman" w:eastAsia="宋体" w:hAnsi="Times New Roman" w:cs="Times New Roman"/>
        </w:rPr>
        <w:t xml:space="preserve">available from </w:t>
      </w:r>
      <w:hyperlink r:id="rId11" w:history="1">
        <w:r w:rsidRPr="006426AD">
          <w:rPr>
            <w:rStyle w:val="a8"/>
            <w:rFonts w:ascii="Times New Roman" w:eastAsia="宋体" w:hAnsi="Times New Roman" w:cs="Times New Roman"/>
            <w:color w:val="auto"/>
          </w:rPr>
          <w:t>https://doi.org/10.5281/zenodo.13827861</w:t>
        </w:r>
      </w:hyperlink>
      <w:r w:rsidRPr="006426AD">
        <w:rPr>
          <w:rFonts w:ascii="Times New Roman" w:eastAsia="宋体" w:hAnsi="Times New Roman" w:cs="Times New Roman"/>
        </w:rPr>
        <w:t xml:space="preserve"> </w:t>
      </w:r>
      <w:r w:rsidRPr="006426AD">
        <w:rPr>
          <w:rFonts w:ascii="Times New Roman" w:eastAsia="宋体" w:hAnsi="Times New Roman" w:cs="Times New Roman"/>
        </w:rPr>
        <w:fldChar w:fldCharType="begin"/>
      </w:r>
      <w:r w:rsidR="0046682E">
        <w:rPr>
          <w:rFonts w:ascii="Times New Roman" w:eastAsia="宋体" w:hAnsi="Times New Roman" w:cs="Times New Roman"/>
        </w:rPr>
        <w:instrText xml:space="preserve"> ADDIN ZOTERO_ITEM CSL_CITATION {"citationID":"jrWxfIWd","properties":{"formattedCitation":"(Wu et al., 2024)","plainCitation":"(Wu et al., 2024)","dontUpdate":true,"noteIndex":0},"citationItems":[{"id":3338,"uris":["http://zotero.org/users/10011104/items/WEHY9K4Q"],"itemData":{"id":3338,"type":"dataset","abstract":"This dataset is associated with the publication on Earth System Science Data, with the same title.It includes five sections including the model inputs of the estimation models, the simulation results of global CO2 emission and uptake by year, the variables and ranges considered in the uncertainty analyses of the uptake estimation and the corresponding confidence intervals from the analyses. For detailed explanations of these datasets, one should should refer to the original manuscript.","DOI":"10.5281/zenodo.13827861","publisher":"Zenodo","source":"Zenodo","title":"Global and national CO2 uptake by cement carbonation from 1928 to 2024","URL":"https://zenodo.org/records/13827861","author":[{"family":"Wu","given":"Songbin"},{"family":"Niu","given":"Le"},{"family":"Wang","given":"Jiaoyue"},{"family":"Xi","given":"Fengming"}],"accessed":{"date-parts":[["2024",9,25]]},"issued":{"date-parts":[["2024",9,23]]}}}],"schema":"https://github.com/citation-style-language/schema/raw/master/csl-citation.json"} </w:instrText>
      </w:r>
      <w:r w:rsidRPr="006426AD">
        <w:rPr>
          <w:rFonts w:ascii="Times New Roman" w:eastAsia="宋体" w:hAnsi="Times New Roman" w:cs="Times New Roman"/>
        </w:rPr>
        <w:fldChar w:fldCharType="separate"/>
      </w:r>
      <w:r w:rsidRPr="006426AD">
        <w:rPr>
          <w:rFonts w:ascii="Times New Roman" w:eastAsia="宋体" w:hAnsi="Times New Roman" w:cs="Times New Roman"/>
        </w:rPr>
        <w:t>Wu et al., 2024)</w:t>
      </w:r>
      <w:r w:rsidRPr="006426AD">
        <w:rPr>
          <w:rFonts w:ascii="Times New Roman" w:eastAsia="宋体" w:hAnsi="Times New Roman" w:cs="Times New Roman"/>
        </w:rPr>
        <w:fldChar w:fldCharType="end"/>
      </w:r>
      <w:r w:rsidRPr="0063111C">
        <w:rPr>
          <w:rFonts w:ascii="Times New Roman" w:hAnsi="Times New Roman" w:hint="eastAsia"/>
        </w:rPr>
        <w:t xml:space="preserve"> to a </w:t>
      </w:r>
      <w:r>
        <w:rPr>
          <w:rFonts w:ascii="Times New Roman" w:hAnsi="Times New Roman"/>
        </w:rPr>
        <w:t>“</w:t>
      </w:r>
      <w:r>
        <w:rPr>
          <w:rFonts w:ascii="Times New Roman" w:hAnsi="Times New Roman" w:hint="eastAsia"/>
        </w:rPr>
        <w:t>S</w:t>
      </w:r>
      <w:r w:rsidRPr="0063111C">
        <w:rPr>
          <w:rFonts w:ascii="Times New Roman" w:hAnsi="Times New Roman" w:hint="eastAsia"/>
        </w:rPr>
        <w:t>ummary</w:t>
      </w:r>
      <w:r>
        <w:rPr>
          <w:rFonts w:ascii="Times New Roman" w:hAnsi="Times New Roman"/>
        </w:rPr>
        <w:t>”</w:t>
      </w:r>
      <w:r w:rsidRPr="0063111C">
        <w:rPr>
          <w:rFonts w:ascii="Times New Roman" w:hAnsi="Times New Roman" w:hint="eastAsia"/>
        </w:rPr>
        <w:t xml:space="preserve"> table containing </w:t>
      </w:r>
      <w:r w:rsidRPr="0063111C">
        <w:rPr>
          <w:rFonts w:ascii="Times New Roman" w:hAnsi="Times New Roman" w:hint="eastAsia"/>
        </w:rPr>
        <w:lastRenderedPageBreak/>
        <w:t xml:space="preserve">a summary of the </w:t>
      </w:r>
      <w:r>
        <w:rPr>
          <w:rFonts w:ascii="Times New Roman" w:hAnsi="Times New Roman" w:hint="eastAsia"/>
        </w:rPr>
        <w:t xml:space="preserve">input </w:t>
      </w:r>
      <w:r w:rsidRPr="0063111C">
        <w:rPr>
          <w:rFonts w:ascii="Times New Roman" w:hAnsi="Times New Roman" w:hint="eastAsia"/>
        </w:rPr>
        <w:t>data information.</w:t>
      </w:r>
    </w:p>
    <w:p w14:paraId="116DF5D4" w14:textId="77777777" w:rsidR="006E4C52" w:rsidRPr="006E4C52" w:rsidRDefault="006E4C52" w:rsidP="00852A17">
      <w:pPr>
        <w:numPr>
          <w:ilvl w:val="0"/>
          <w:numId w:val="1"/>
        </w:numPr>
        <w:spacing w:before="100" w:beforeAutospacing="1" w:after="100" w:afterAutospacing="1"/>
        <w:rPr>
          <w:rFonts w:ascii="Times New Roman" w:hAnsi="Times New Roman"/>
        </w:rPr>
      </w:pPr>
      <w:r w:rsidRPr="006E4C52">
        <w:rPr>
          <w:rFonts w:ascii="Times New Roman" w:hAnsi="Times New Roman"/>
          <w:b/>
          <w:bCs/>
        </w:rPr>
        <w:t>Figure 1b</w:t>
      </w:r>
    </w:p>
    <w:p w14:paraId="427C7F56" w14:textId="77777777" w:rsidR="006E4C52" w:rsidRDefault="006E4C52" w:rsidP="00852A17">
      <w:pPr>
        <w:spacing w:before="100" w:beforeAutospacing="1" w:after="100" w:afterAutospacing="1"/>
        <w:ind w:left="720"/>
        <w:rPr>
          <w:rFonts w:ascii="Times New Roman" w:hAnsi="Times New Roman"/>
        </w:rPr>
      </w:pPr>
      <w:r w:rsidRPr="006E4C52">
        <w:rPr>
          <w:rFonts w:ascii="Times New Roman" w:hAnsi="Times New Roman"/>
        </w:rPr>
        <w:t>The carbon offset levels in Figure 1b show a clear overall increasing, stable, trend (unit as percentage) over the past 100 years. Considering the construction substantially increased over the past century, does this indicate that the carbon uptake efficiency of materials is increasing over time? I did not follow. Additionally, uncertainty levels should be provided in this figure. The explanation of short-term disturbances, such as World War II, is reasonable, but the manuscript lacks interpretation for the long-term stable increase in carbon offset levels.</w:t>
      </w:r>
    </w:p>
    <w:p w14:paraId="52F1F3D0" w14:textId="1DFE2BE0" w:rsidR="002821A9" w:rsidRDefault="0063111C" w:rsidP="00852A17">
      <w:pPr>
        <w:spacing w:before="100" w:beforeAutospacing="1" w:after="100" w:afterAutospacing="1"/>
        <w:ind w:left="720"/>
        <w:rPr>
          <w:rFonts w:ascii="Times New Roman" w:hAnsi="Times New Roman"/>
        </w:rPr>
      </w:pPr>
      <w:r w:rsidRPr="00C1215B">
        <w:rPr>
          <w:rFonts w:ascii="Times New Roman" w:hAnsi="Times New Roman" w:hint="eastAsia"/>
          <w:b/>
          <w:bCs/>
          <w:i/>
          <w:iCs/>
          <w:color w:val="FF0000"/>
        </w:rPr>
        <w:t>Response:</w:t>
      </w:r>
      <w:r>
        <w:rPr>
          <w:rFonts w:ascii="Times New Roman" w:hAnsi="Times New Roman" w:hint="eastAsia"/>
          <w:b/>
          <w:bCs/>
          <w:color w:val="FF0000"/>
        </w:rPr>
        <w:t xml:space="preserve"> </w:t>
      </w:r>
      <w:r w:rsidR="006975ED" w:rsidRPr="006975ED">
        <w:rPr>
          <w:rFonts w:ascii="Times New Roman" w:hAnsi="Times New Roman" w:hint="eastAsia"/>
        </w:rPr>
        <w:t xml:space="preserve">Thank you very much for your </w:t>
      </w:r>
      <w:r w:rsidR="00FC0FEC">
        <w:rPr>
          <w:rFonts w:ascii="Times New Roman" w:hAnsi="Times New Roman" w:hint="eastAsia"/>
        </w:rPr>
        <w:t xml:space="preserve">helpful </w:t>
      </w:r>
      <w:r w:rsidR="006975ED" w:rsidRPr="006975ED">
        <w:rPr>
          <w:rFonts w:ascii="Times New Roman" w:hAnsi="Times New Roman" w:hint="eastAsia"/>
        </w:rPr>
        <w:t>comment.</w:t>
      </w:r>
      <w:r w:rsidR="006975ED">
        <w:rPr>
          <w:rFonts w:ascii="Times New Roman" w:hAnsi="Times New Roman" w:hint="eastAsia"/>
        </w:rPr>
        <w:t xml:space="preserve"> </w:t>
      </w:r>
      <w:r w:rsidR="006975ED" w:rsidRPr="006975ED">
        <w:rPr>
          <w:rFonts w:ascii="Times New Roman" w:hAnsi="Times New Roman" w:hint="eastAsia"/>
        </w:rPr>
        <w:t xml:space="preserve">Firstly, the steady increase in the offset level in Figure 1b does not imply that the rate of cement carbon uptake is necessarily increasing. In this figure, the offset level represents the ratio of global cement carbon absorption to cement carbon emissions. Since the activity level data of cement carbon </w:t>
      </w:r>
      <w:r w:rsidR="007842FB">
        <w:rPr>
          <w:rFonts w:ascii="Times New Roman" w:hAnsi="Times New Roman" w:hint="eastAsia"/>
        </w:rPr>
        <w:t>uptake</w:t>
      </w:r>
      <w:r w:rsidR="006975ED" w:rsidRPr="006975ED">
        <w:rPr>
          <w:rFonts w:ascii="Times New Roman" w:hAnsi="Times New Roman" w:hint="eastAsia"/>
        </w:rPr>
        <w:t xml:space="preserve"> and carbon emission are all based on the consumption of cement clinker, the offset level seems to be related to the ratio of the </w:t>
      </w:r>
      <w:r w:rsidR="002D223F">
        <w:rPr>
          <w:rFonts w:ascii="Times New Roman" w:hAnsi="Times New Roman" w:hint="eastAsia"/>
        </w:rPr>
        <w:t>carbon uptake parameters</w:t>
      </w:r>
      <w:r w:rsidR="006975ED" w:rsidRPr="006975ED">
        <w:rPr>
          <w:rFonts w:ascii="Times New Roman" w:hAnsi="Times New Roman" w:hint="eastAsia"/>
        </w:rPr>
        <w:t xml:space="preserve"> to the emission factor only</w:t>
      </w:r>
      <w:r w:rsidR="002D223F">
        <w:rPr>
          <w:rFonts w:ascii="Times New Roman" w:hAnsi="Times New Roman" w:hint="eastAsia"/>
        </w:rPr>
        <w:t xml:space="preserve">. </w:t>
      </w:r>
      <w:r w:rsidR="002D223F" w:rsidRPr="002D223F">
        <w:rPr>
          <w:rFonts w:ascii="Times New Roman" w:hAnsi="Times New Roman" w:hint="eastAsia"/>
        </w:rPr>
        <w:t>However, it is important to note that the accounting for cement carbon sequestration differs from that of cement carbon emissions (calculated as activity level data × emission factors). The key distinction lies in the fact that cement materials, particularly concrete, cannot fully carbonate within a single year. As a result, cement carbon sequestration exhibits a time</w:t>
      </w:r>
      <w:r w:rsidR="002D223F">
        <w:rPr>
          <w:rFonts w:ascii="Times New Roman" w:hAnsi="Times New Roman" w:hint="eastAsia"/>
        </w:rPr>
        <w:t>-</w:t>
      </w:r>
      <w:r w:rsidR="002D223F" w:rsidRPr="002D223F">
        <w:rPr>
          <w:rFonts w:ascii="Times New Roman" w:hAnsi="Times New Roman" w:hint="eastAsia"/>
        </w:rPr>
        <w:t xml:space="preserve">lag </w:t>
      </w:r>
      <w:r w:rsidR="002D223F">
        <w:rPr>
          <w:rFonts w:ascii="Times New Roman" w:hAnsi="Times New Roman" w:hint="eastAsia"/>
        </w:rPr>
        <w:t xml:space="preserve">(Figure 2) </w:t>
      </w:r>
      <w:r w:rsidR="002D223F" w:rsidRPr="002D223F">
        <w:rPr>
          <w:rFonts w:ascii="Times New Roman" w:hAnsi="Times New Roman" w:hint="eastAsia"/>
        </w:rPr>
        <w:t>relative to carbon emissions.</w:t>
      </w:r>
      <w:r w:rsidR="002D223F">
        <w:rPr>
          <w:rFonts w:ascii="Times New Roman" w:hAnsi="Times New Roman" w:hint="eastAsia"/>
        </w:rPr>
        <w:t xml:space="preserve"> </w:t>
      </w:r>
      <w:r w:rsidR="002D223F" w:rsidRPr="002D223F">
        <w:rPr>
          <w:rFonts w:ascii="Times New Roman" w:hAnsi="Times New Roman" w:hint="eastAsia"/>
        </w:rPr>
        <w:t xml:space="preserve">In other words, </w:t>
      </w:r>
      <w:bookmarkStart w:id="6" w:name="_Hlk185929245"/>
      <w:r w:rsidR="002D223F" w:rsidRPr="002D223F">
        <w:rPr>
          <w:rFonts w:ascii="Times New Roman" w:hAnsi="Times New Roman" w:hint="eastAsia"/>
        </w:rPr>
        <w:t>cement carbon sequestration accumulates gradually over the years</w:t>
      </w:r>
      <w:bookmarkEnd w:id="6"/>
      <w:r w:rsidR="002D223F" w:rsidRPr="002D223F">
        <w:rPr>
          <w:rFonts w:ascii="Times New Roman" w:hAnsi="Times New Roman" w:hint="eastAsia"/>
        </w:rPr>
        <w:t>, unlike carbon emissions from cement production</w:t>
      </w:r>
      <w:r w:rsidR="002D223F">
        <w:rPr>
          <w:rFonts w:ascii="Times New Roman" w:hAnsi="Times New Roman" w:hint="eastAsia"/>
        </w:rPr>
        <w:t xml:space="preserve"> </w:t>
      </w:r>
      <w:r w:rsidR="00805BDA">
        <w:rPr>
          <w:rFonts w:ascii="Times New Roman" w:hAnsi="Times New Roman" w:hint="eastAsia"/>
        </w:rPr>
        <w:t xml:space="preserve">process </w:t>
      </w:r>
      <w:r w:rsidR="002D223F" w:rsidRPr="002D223F">
        <w:rPr>
          <w:rFonts w:ascii="Times New Roman" w:hAnsi="Times New Roman" w:hint="eastAsia"/>
        </w:rPr>
        <w:t>which occur instantaneously. This is the primary reason for the steady increase in cement carbon offsets over time.</w:t>
      </w:r>
      <w:r w:rsidR="00AB46BA">
        <w:rPr>
          <w:rFonts w:ascii="Times New Roman" w:hAnsi="Times New Roman" w:hint="eastAsia"/>
        </w:rPr>
        <w:t xml:space="preserve"> </w:t>
      </w:r>
      <w:r w:rsidR="002821A9" w:rsidRPr="002821A9">
        <w:rPr>
          <w:rFonts w:ascii="Times New Roman" w:hAnsi="Times New Roman" w:hint="eastAsia"/>
        </w:rPr>
        <w:t>Furthermore, since the carbon offset level in this figure is defined as the ratio of carbon sequestration to carbon emissions for cement, its uncertainty inherently stems from the uncertainties in both carbon sequestration and carbon emissions. However, determining the uncertainty of this ratio does not seem to have a significant or disproportionate impact on decision-making or practical applications. Therefore, this study prioritizes the quantification of carbon sequestration and the interpretation of its uncertainty, rather than overemphasizing the uncertainty of the offset ratio itself.</w:t>
      </w:r>
    </w:p>
    <w:p w14:paraId="6B124171" w14:textId="745457DD" w:rsidR="00AB46BA" w:rsidRPr="00034E00" w:rsidRDefault="002821A9" w:rsidP="00852A17">
      <w:pPr>
        <w:spacing w:before="100" w:beforeAutospacing="1" w:after="100" w:afterAutospacing="1"/>
        <w:ind w:left="720"/>
        <w:rPr>
          <w:rFonts w:ascii="Times New Roman" w:hAnsi="Times New Roman"/>
        </w:rPr>
      </w:pPr>
      <w:r w:rsidRPr="00C1215B">
        <w:rPr>
          <w:rFonts w:ascii="Times New Roman" w:hAnsi="Times New Roman" w:hint="eastAsia"/>
          <w:b/>
          <w:bCs/>
          <w:i/>
          <w:iCs/>
          <w:color w:val="FF0000"/>
        </w:rPr>
        <w:t>Changes:</w:t>
      </w:r>
      <w:r w:rsidRPr="00C1215B">
        <w:rPr>
          <w:rFonts w:ascii="Times New Roman" w:hAnsi="Times New Roman" w:hint="eastAsia"/>
          <w:b/>
          <w:bCs/>
          <w:i/>
          <w:iCs/>
        </w:rPr>
        <w:t xml:space="preserve"> </w:t>
      </w:r>
      <w:r w:rsidR="00034E00" w:rsidRPr="00034E00">
        <w:rPr>
          <w:rFonts w:ascii="Times New Roman" w:hAnsi="Times New Roman" w:hint="eastAsia"/>
        </w:rPr>
        <w:t xml:space="preserve">We </w:t>
      </w:r>
      <w:r w:rsidR="00034E00">
        <w:rPr>
          <w:rFonts w:ascii="Times New Roman" w:hAnsi="Times New Roman" w:hint="eastAsia"/>
        </w:rPr>
        <w:t xml:space="preserve">have included </w:t>
      </w:r>
      <w:r w:rsidR="00034E00" w:rsidRPr="00034E00">
        <w:rPr>
          <w:rFonts w:ascii="Times New Roman" w:hAnsi="Times New Roman" w:hint="eastAsia"/>
        </w:rPr>
        <w:t>an explanation</w:t>
      </w:r>
      <w:r w:rsidR="00034E00" w:rsidRPr="006E4C52">
        <w:rPr>
          <w:rFonts w:ascii="Times New Roman" w:hAnsi="Times New Roman"/>
        </w:rPr>
        <w:t xml:space="preserve"> </w:t>
      </w:r>
      <w:r w:rsidR="00034E00">
        <w:rPr>
          <w:rFonts w:ascii="Times New Roman" w:hAnsi="Times New Roman" w:hint="eastAsia"/>
        </w:rPr>
        <w:t>of</w:t>
      </w:r>
      <w:r w:rsidR="00034E00" w:rsidRPr="006E4C52">
        <w:rPr>
          <w:rFonts w:ascii="Times New Roman" w:hAnsi="Times New Roman"/>
        </w:rPr>
        <w:t xml:space="preserve"> the long-term stable increase in carbon offset levels</w:t>
      </w:r>
      <w:r w:rsidR="00034E00">
        <w:rPr>
          <w:rFonts w:ascii="Times New Roman" w:hAnsi="Times New Roman" w:hint="eastAsia"/>
        </w:rPr>
        <w:t xml:space="preserve"> in the section 3.1 of the manuscript</w:t>
      </w:r>
      <w:r w:rsidR="004F623C">
        <w:rPr>
          <w:rFonts w:ascii="Times New Roman" w:hAnsi="Times New Roman" w:hint="eastAsia"/>
        </w:rPr>
        <w:t>:</w:t>
      </w:r>
      <w:r w:rsidR="00034E00">
        <w:rPr>
          <w:rFonts w:ascii="Times New Roman" w:hAnsi="Times New Roman" w:hint="eastAsia"/>
        </w:rPr>
        <w:t xml:space="preserve"> </w:t>
      </w:r>
      <w:r w:rsidR="00034E00">
        <w:rPr>
          <w:rFonts w:ascii="Times New Roman" w:hAnsi="Times New Roman"/>
        </w:rPr>
        <w:t>“</w:t>
      </w:r>
      <w:r w:rsidR="00034E00" w:rsidRPr="00034E00">
        <w:rPr>
          <w:rFonts w:ascii="Times New Roman" w:hAnsi="Times New Roman" w:hint="eastAsia"/>
        </w:rPr>
        <w:t>Unsurprisingly, the carbon offset level (uptake-to-emission ratio, Fig. 1b) show a clearly overall increasing trend over the past nearly 100 years. This trend is primarily due to the time-lag of cement carbonation, unlike the transient carbon process emissions from cement, the gradual accumulation of historical carbon sequestration results in a steady increase in carbon offset level. This effect becomes particularly evident during periods of declining cement production</w:t>
      </w:r>
      <w:r w:rsidR="00034E00">
        <w:rPr>
          <w:rFonts w:ascii="Times New Roman" w:hAnsi="Times New Roman" w:hint="eastAsia"/>
        </w:rPr>
        <w:t>.</w:t>
      </w:r>
      <w:r w:rsidR="00034E00">
        <w:rPr>
          <w:rFonts w:ascii="Times New Roman" w:hAnsi="Times New Roman"/>
        </w:rPr>
        <w:t>”</w:t>
      </w:r>
    </w:p>
    <w:p w14:paraId="3D2DDE5C" w14:textId="77777777" w:rsidR="006E4C52" w:rsidRPr="006E4C52" w:rsidRDefault="006E4C52" w:rsidP="00852A17">
      <w:pPr>
        <w:numPr>
          <w:ilvl w:val="0"/>
          <w:numId w:val="1"/>
        </w:numPr>
        <w:spacing w:before="100" w:beforeAutospacing="1" w:after="100" w:afterAutospacing="1"/>
        <w:rPr>
          <w:rFonts w:ascii="Times New Roman" w:hAnsi="Times New Roman"/>
        </w:rPr>
      </w:pPr>
      <w:r w:rsidRPr="006E4C52">
        <w:rPr>
          <w:rFonts w:ascii="Times New Roman" w:hAnsi="Times New Roman"/>
          <w:b/>
          <w:bCs/>
        </w:rPr>
        <w:t xml:space="preserve">Discussion on </w:t>
      </w:r>
      <w:bookmarkStart w:id="7" w:name="_Hlk185930874"/>
      <w:r w:rsidRPr="006E4C52">
        <w:rPr>
          <w:rFonts w:ascii="Times New Roman" w:hAnsi="Times New Roman"/>
          <w:b/>
          <w:bCs/>
        </w:rPr>
        <w:t>Cement Carbonation Risks</w:t>
      </w:r>
      <w:bookmarkEnd w:id="7"/>
    </w:p>
    <w:p w14:paraId="23B83A47" w14:textId="77777777" w:rsidR="006E4C52" w:rsidRDefault="006E4C52" w:rsidP="00852A17">
      <w:pPr>
        <w:spacing w:before="100" w:beforeAutospacing="1" w:after="100" w:afterAutospacing="1"/>
        <w:ind w:left="720"/>
        <w:rPr>
          <w:rFonts w:ascii="Times New Roman" w:hAnsi="Times New Roman"/>
        </w:rPr>
      </w:pPr>
      <w:r w:rsidRPr="006E4C52">
        <w:rPr>
          <w:rFonts w:ascii="Times New Roman" w:hAnsi="Times New Roman"/>
        </w:rPr>
        <w:t>Page 10, Line 237: The authors call for inter-industry collaboration to maximize CO</w:t>
      </w:r>
      <w:r w:rsidRPr="006E4C52">
        <w:rPr>
          <w:rFonts w:ascii="Times New Roman" w:hAnsi="Times New Roman" w:cs="Times New Roman"/>
        </w:rPr>
        <w:t>₂</w:t>
      </w:r>
      <w:r w:rsidRPr="006E4C52">
        <w:rPr>
          <w:rFonts w:ascii="Times New Roman" w:hAnsi="Times New Roman"/>
        </w:rPr>
        <w:t xml:space="preserve"> uptake </w:t>
      </w:r>
      <w:r w:rsidRPr="006E4C52">
        <w:rPr>
          <w:rFonts w:ascii="Times New Roman" w:hAnsi="Times New Roman"/>
        </w:rPr>
        <w:lastRenderedPageBreak/>
        <w:t>from cement materials. While this is an important goal, it is worth noting that cement carbonation significantly reduces the durability of constructions. Reconstruction necessitated by reduced durability would lead to additional carbon emissions. Could the authors discuss the potential risks associated with relying on carbonation as a pathway to achieving carbon neutrality?</w:t>
      </w:r>
    </w:p>
    <w:p w14:paraId="79D72A97" w14:textId="0ED6DD10" w:rsidR="00135CC6" w:rsidRPr="0096238C" w:rsidRDefault="00C1215B" w:rsidP="0096238C">
      <w:pPr>
        <w:spacing w:before="100" w:beforeAutospacing="1" w:after="100" w:afterAutospacing="1"/>
        <w:ind w:left="720"/>
        <w:rPr>
          <w:rFonts w:ascii="Times New Roman" w:eastAsiaTheme="minorEastAsia" w:hAnsi="Times New Roman"/>
        </w:rPr>
      </w:pPr>
      <w:r w:rsidRPr="00C1215B">
        <w:rPr>
          <w:rFonts w:ascii="Times New Roman" w:hAnsi="Times New Roman" w:hint="eastAsia"/>
          <w:b/>
          <w:bCs/>
          <w:i/>
          <w:iCs/>
          <w:color w:val="FF0000"/>
        </w:rPr>
        <w:t>Response:</w:t>
      </w:r>
      <w:r>
        <w:rPr>
          <w:rFonts w:ascii="Times New Roman" w:hAnsi="Times New Roman" w:hint="eastAsia"/>
          <w:b/>
          <w:bCs/>
          <w:color w:val="FF0000"/>
        </w:rPr>
        <w:t xml:space="preserve"> </w:t>
      </w:r>
      <w:r w:rsidRPr="00C1215B">
        <w:rPr>
          <w:rFonts w:ascii="Times New Roman" w:hAnsi="Times New Roman"/>
        </w:rPr>
        <w:t xml:space="preserve">We are especially thankful for your detailed feedback on </w:t>
      </w:r>
      <w:r>
        <w:rPr>
          <w:rFonts w:ascii="Times New Roman" w:hAnsi="Times New Roman" w:hint="eastAsia"/>
        </w:rPr>
        <w:t>c</w:t>
      </w:r>
      <w:r w:rsidRPr="00C1215B">
        <w:rPr>
          <w:rFonts w:ascii="Times New Roman" w:hAnsi="Times New Roman" w:hint="eastAsia"/>
        </w:rPr>
        <w:t xml:space="preserve">ement </w:t>
      </w:r>
      <w:r>
        <w:rPr>
          <w:rFonts w:ascii="Times New Roman" w:hAnsi="Times New Roman" w:hint="eastAsia"/>
        </w:rPr>
        <w:t>c</w:t>
      </w:r>
      <w:r w:rsidRPr="00C1215B">
        <w:rPr>
          <w:rFonts w:ascii="Times New Roman" w:hAnsi="Times New Roman" w:hint="eastAsia"/>
        </w:rPr>
        <w:t xml:space="preserve">arbonation </w:t>
      </w:r>
      <w:r>
        <w:rPr>
          <w:rFonts w:ascii="Times New Roman" w:hAnsi="Times New Roman" w:hint="eastAsia"/>
        </w:rPr>
        <w:t>r</w:t>
      </w:r>
      <w:r w:rsidRPr="00C1215B">
        <w:rPr>
          <w:rFonts w:ascii="Times New Roman" w:hAnsi="Times New Roman" w:hint="eastAsia"/>
        </w:rPr>
        <w:t>isks</w:t>
      </w:r>
      <w:r w:rsidRPr="00C1215B">
        <w:rPr>
          <w:rFonts w:ascii="Times New Roman" w:hAnsi="Times New Roman"/>
        </w:rPr>
        <w:t>, which has been very helpful.</w:t>
      </w:r>
      <w:r>
        <w:rPr>
          <w:rFonts w:ascii="Times New Roman" w:hAnsi="Times New Roman" w:hint="eastAsia"/>
        </w:rPr>
        <w:t xml:space="preserve"> </w:t>
      </w:r>
      <w:r w:rsidR="002A407E" w:rsidRPr="00ED6467">
        <w:rPr>
          <w:rFonts w:ascii="Times New Roman" w:hAnsi="Times New Roman"/>
        </w:rPr>
        <w:t>Carbonization</w:t>
      </w:r>
      <w:r w:rsidR="002A407E" w:rsidRPr="00ED6467">
        <w:rPr>
          <w:rFonts w:ascii="Times New Roman" w:hAnsi="Times New Roman" w:hint="eastAsia"/>
        </w:rPr>
        <w:t xml:space="preserve"> of cement materials does significantly reduce the durability of buildings</w:t>
      </w:r>
      <w:r w:rsidR="002A407E">
        <w:rPr>
          <w:rFonts w:ascii="Times New Roman" w:hAnsi="Times New Roman" w:hint="eastAsia"/>
        </w:rPr>
        <w:t xml:space="preserve"> </w:t>
      </w:r>
      <w:r w:rsidR="002A407E">
        <w:rPr>
          <w:rFonts w:ascii="Times New Roman" w:hAnsi="Times New Roman"/>
        </w:rPr>
        <w:fldChar w:fldCharType="begin"/>
      </w:r>
      <w:r w:rsidR="001A03C9">
        <w:rPr>
          <w:rFonts w:ascii="Times New Roman" w:hAnsi="Times New Roman"/>
        </w:rPr>
        <w:instrText xml:space="preserve"> ADDIN ZOTERO_ITEM CSL_CITATION {"citationID":"MBFvaZgh","properties":{"formattedCitation":"(Zhang et al., 2025)","plainCitation":"(Zhang et al., 2025)","noteIndex":0},"citationItems":[{"id":3672,"uris":["http://zotero.org/users/10011104/items/TAXV2KC7"],"itemData":{"id":3672,"type":"article-journal","abstract":"The utilisation of carbonated recycled aggregates in concrete has been increasingly considered as an effective strategy for CO2 sequestration in the built environment and enhancement of concrete sustainability. Following up a pervious review on the role of carbonated recycled concrete aggregates in the mechanical properties of concrete, this paper presents a comprehensive review on the effects of carbonation treatment on the chemical compositions and physical properties of recycled concrete aggregates, as well as the role of carbonated recycled concrete aggregates in microstructure and durability-related properties including volume deformation, transport properties, chemical resistance, freeze-thaw resistance and fire resistance of concrete. A special focus is placed on the relationship between microstructure and durability-related properties of carbonated recycled aggregate concrete considering the effects of pre-treatment method, replacement level, curing age, water-to-binder ratio and quality of the original aggregates. The insights into the deterioration mechanism and strategies for improving the durability of carbonated recycled aggregate concrete are provided. This review summarises the recent advances in the field, followed by a discussion on the remaining challenges and opportunities for future research.","container-title":"Cement and Concrete Composites","DOI":"10.1016/j.cemconcomp.2024.105865","ISSN":"0958-9465","journalAbbreviation":"Cement and Concrete Composites","page":"105865","source":"ScienceDirect","title":"Durability of concrete containing carbonated recycled aggregates: A comprehensive review","title-short":"Durability of concrete containing carbonated recycled aggregates","volume":"156","author":[{"family":"Zhang","given":"Tong"},{"family":"Cui","given":"Jiaze"},{"family":"Chen","given":"Meng"},{"family":"Yang","given":"Jinlai"},{"family":"Yan","given":"Zhiguo"},{"family":"Zhang","given":"Mingzhong"}],"issued":{"date-parts":[["2025",2,1]]}}}],"schema":"https://github.com/citation-style-language/schema/raw/master/csl-citation.json"} </w:instrText>
      </w:r>
      <w:r w:rsidR="002A407E">
        <w:rPr>
          <w:rFonts w:ascii="Times New Roman" w:hAnsi="Times New Roman"/>
        </w:rPr>
        <w:fldChar w:fldCharType="separate"/>
      </w:r>
      <w:r w:rsidR="002A407E" w:rsidRPr="0046682E">
        <w:rPr>
          <w:rFonts w:ascii="Times New Roman" w:hAnsi="Times New Roman" w:cs="Times New Roman" w:hint="eastAsia"/>
        </w:rPr>
        <w:t>(Zhang et al., 2025)</w:t>
      </w:r>
      <w:r w:rsidR="002A407E">
        <w:rPr>
          <w:rFonts w:ascii="Times New Roman" w:hAnsi="Times New Roman"/>
        </w:rPr>
        <w:fldChar w:fldCharType="end"/>
      </w:r>
      <w:r w:rsidR="002A407E">
        <w:rPr>
          <w:rFonts w:ascii="Times New Roman" w:hAnsi="Times New Roman" w:hint="eastAsia"/>
        </w:rPr>
        <w:t xml:space="preserve">. </w:t>
      </w:r>
      <w:r w:rsidR="002A407E" w:rsidRPr="002A407E">
        <w:rPr>
          <w:rFonts w:ascii="Times New Roman" w:hAnsi="Times New Roman" w:hint="eastAsia"/>
        </w:rPr>
        <w:t xml:space="preserve">According to </w:t>
      </w:r>
      <w:r w:rsidR="002A407E">
        <w:rPr>
          <w:rFonts w:ascii="Times New Roman" w:hAnsi="Times New Roman"/>
        </w:rPr>
        <w:fldChar w:fldCharType="begin"/>
      </w:r>
      <w:r w:rsidR="001A03C9">
        <w:rPr>
          <w:rFonts w:ascii="Times New Roman" w:hAnsi="Times New Roman"/>
        </w:rPr>
        <w:instrText xml:space="preserve"> ADDIN ZOTERO_ITEM CSL_CITATION {"citationID":"9BPx7xPH","properties":{"formattedCitation":"(Huang et al., 2024)","plainCitation":"(Huang et al., 2024)","dontUpdate":true,"noteIndex":0},"citationItems":[{"id":3674,"uris":["http://zotero.org/users/10011104/items/M4TAWMLY"],"itemData":{"id":3674,"type":"article-journal","abstract":"The life-cycle assessment method, which originates from general products and services, has gradually come to be applied to investigations of the life-cycle carbon emissions (LCCE) of buildings. A literature review was conducted to clarify LCCE implications, calculations, and reductions in the context of buildings. A total of 826 global building carbon emission calculation cases were obtained from 161 studies based on the framework of the building life-cycle stage division stipulated by ISO 21930 and the basic principles of the emission factor (EF) approach. The carbon emission calculation methods and results are discussed herein, based on the modules of production, construction, use, end-of-life, and supplementary benefits. According to the hotspot distribution of a building’s carbon emissions, carbon reduction strategies are classified into six groups for technical content and benefits analysis, including reducing the activity data pertaining to building materials and energy, reducing the carbon EFs of the building materials and energy, and exploiting the advantages of supplementary benefits. The research gaps and challenges in current building LCCE studies are summarized in terms of research goals and ideas, calculation methods, basic parameters, and carbon reduction strategies; development suggestions are also proposed.","container-title":"Engineering","DOI":"10.1016/j.eng.2023.08.019","ISSN":"2095-8099","journalAbbreviation":"Engineering","page":"115-139","source":"ScienceDirect","title":"Life-cycle carbon emissions (LCCE) of buildings: Implications, calculations, and reductions","title-short":"Life-Cycle Carbon Emissions (LCCE) of Buildings","volume":"35","author":[{"family":"Huang","given":"Zujian"},{"family":"Zhou","given":"Hao"},{"family":"Miao","given":"Zhijian"},{"family":"Tang","given":"Hao"},{"family":"Lin","given":"Borong"},{"family":"Zhuang","given":"Weimin"}],"issued":{"date-parts":[["2024",4,1]]}}}],"schema":"https://github.com/citation-style-language/schema/raw/master/csl-citation.json"} </w:instrText>
      </w:r>
      <w:r w:rsidR="002A407E">
        <w:rPr>
          <w:rFonts w:ascii="Times New Roman" w:hAnsi="Times New Roman"/>
        </w:rPr>
        <w:fldChar w:fldCharType="separate"/>
      </w:r>
      <w:r w:rsidR="002A407E" w:rsidRPr="002A407E">
        <w:rPr>
          <w:rFonts w:ascii="Times New Roman" w:hAnsi="Times New Roman" w:cs="Times New Roman" w:hint="eastAsia"/>
        </w:rPr>
        <w:t xml:space="preserve">Huang et al. </w:t>
      </w:r>
      <w:r w:rsidR="002A407E">
        <w:rPr>
          <w:rFonts w:ascii="Times New Roman" w:hAnsi="Times New Roman" w:cs="Times New Roman" w:hint="eastAsia"/>
        </w:rPr>
        <w:t>(</w:t>
      </w:r>
      <w:r w:rsidR="002A407E" w:rsidRPr="002A407E">
        <w:rPr>
          <w:rFonts w:ascii="Times New Roman" w:hAnsi="Times New Roman" w:cs="Times New Roman" w:hint="eastAsia"/>
        </w:rPr>
        <w:t>2024)</w:t>
      </w:r>
      <w:r w:rsidR="002A407E">
        <w:rPr>
          <w:rFonts w:ascii="Times New Roman" w:hAnsi="Times New Roman"/>
        </w:rPr>
        <w:fldChar w:fldCharType="end"/>
      </w:r>
      <w:r w:rsidR="002A407E">
        <w:rPr>
          <w:rFonts w:ascii="Times New Roman" w:hAnsi="Times New Roman" w:hint="eastAsia"/>
        </w:rPr>
        <w:t xml:space="preserve">, </w:t>
      </w:r>
      <w:r w:rsidR="002A407E" w:rsidRPr="002A407E">
        <w:rPr>
          <w:rFonts w:ascii="Times New Roman" w:hAnsi="Times New Roman" w:hint="eastAsia"/>
        </w:rPr>
        <w:t>the carbon emissions from the production phase of building materials and the construction phase account for 15.6% and 1.6% of their full life cycle, respectively.</w:t>
      </w:r>
      <w:r w:rsidR="002A407E">
        <w:rPr>
          <w:rFonts w:ascii="Times New Roman" w:hAnsi="Times New Roman" w:hint="eastAsia"/>
        </w:rPr>
        <w:t xml:space="preserve"> Therefore, w</w:t>
      </w:r>
      <w:r w:rsidR="002A407E" w:rsidRPr="002A407E">
        <w:rPr>
          <w:rFonts w:ascii="Times New Roman" w:hAnsi="Times New Roman"/>
        </w:rPr>
        <w:t>e can</w:t>
      </w:r>
      <w:r w:rsidR="002A407E">
        <w:rPr>
          <w:rFonts w:ascii="Times New Roman" w:hAnsi="Times New Roman"/>
        </w:rPr>
        <w:t>’</w:t>
      </w:r>
      <w:r w:rsidR="002A407E" w:rsidRPr="002A407E">
        <w:rPr>
          <w:rFonts w:ascii="Times New Roman" w:hAnsi="Times New Roman"/>
        </w:rPr>
        <w:t xml:space="preserve">t </w:t>
      </w:r>
      <w:r w:rsidR="002A407E">
        <w:rPr>
          <w:rFonts w:ascii="Times New Roman" w:hAnsi="Times New Roman" w:hint="eastAsia"/>
        </w:rPr>
        <w:t>r</w:t>
      </w:r>
      <w:r w:rsidR="002A407E" w:rsidRPr="002A407E">
        <w:rPr>
          <w:rFonts w:ascii="Times New Roman" w:hAnsi="Times New Roman" w:hint="eastAsia"/>
        </w:rPr>
        <w:t>econstruct</w:t>
      </w:r>
      <w:r w:rsidR="002A407E" w:rsidRPr="002A407E">
        <w:rPr>
          <w:rFonts w:ascii="Times New Roman" w:hAnsi="Times New Roman"/>
        </w:rPr>
        <w:t xml:space="preserve"> just to enhance the carbon absorption capacity of cement</w:t>
      </w:r>
      <w:r w:rsidR="00D11BBB">
        <w:rPr>
          <w:rFonts w:ascii="Times New Roman" w:hAnsi="Times New Roman" w:hint="eastAsia"/>
        </w:rPr>
        <w:t xml:space="preserve"> which</w:t>
      </w:r>
      <w:r w:rsidR="002A407E" w:rsidRPr="002A407E">
        <w:rPr>
          <w:rFonts w:ascii="Times New Roman" w:hAnsi="Times New Roman"/>
        </w:rPr>
        <w:t xml:space="preserve"> </w:t>
      </w:r>
      <w:r w:rsidR="00D11BBB" w:rsidRPr="00D11BBB">
        <w:rPr>
          <w:rFonts w:ascii="Times New Roman" w:hAnsi="Times New Roman"/>
        </w:rPr>
        <w:t>exacerbate the risk of increased emissions</w:t>
      </w:r>
      <w:r w:rsidR="00D11BBB">
        <w:rPr>
          <w:rFonts w:ascii="Times New Roman" w:hAnsi="Times New Roman" w:hint="eastAsia"/>
        </w:rPr>
        <w:t xml:space="preserve">. </w:t>
      </w:r>
      <w:r w:rsidR="002A407E" w:rsidRPr="002A407E">
        <w:rPr>
          <w:rFonts w:ascii="Times New Roman" w:hAnsi="Times New Roman"/>
        </w:rPr>
        <w:t>Instead, we should focus on extending the lifespan of buildings to align with advancements in engineering technology.</w:t>
      </w:r>
      <w:r w:rsidR="00D11BBB">
        <w:rPr>
          <w:rFonts w:ascii="Times New Roman" w:hAnsi="Times New Roman" w:hint="eastAsia"/>
        </w:rPr>
        <w:t xml:space="preserve"> </w:t>
      </w:r>
      <w:r w:rsidR="00D11BBB" w:rsidRPr="00D11BBB">
        <w:rPr>
          <w:rFonts w:ascii="Times New Roman" w:hAnsi="Times New Roman"/>
        </w:rPr>
        <w:t>For instance, the average building lifespan in some European countries is currently around 70 years, approximately 65 years in the United States, but only 35 years in China</w:t>
      </w:r>
      <w:r w:rsidR="007F464D">
        <w:rPr>
          <w:rFonts w:ascii="Times New Roman" w:hAnsi="Times New Roman" w:hint="eastAsia"/>
        </w:rPr>
        <w:t xml:space="preserve"> (SI data5 in Supplementary table 2, </w:t>
      </w:r>
      <w:r w:rsidR="007F464D" w:rsidRPr="006426AD">
        <w:rPr>
          <w:rFonts w:ascii="Times New Roman" w:eastAsia="宋体" w:hAnsi="Times New Roman" w:cs="Times New Roman"/>
        </w:rPr>
        <w:t xml:space="preserve">available from </w:t>
      </w:r>
      <w:hyperlink r:id="rId12" w:history="1">
        <w:r w:rsidR="007F464D" w:rsidRPr="006426AD">
          <w:rPr>
            <w:rStyle w:val="a8"/>
            <w:rFonts w:ascii="Times New Roman" w:eastAsia="宋体" w:hAnsi="Times New Roman" w:cs="Times New Roman"/>
            <w:color w:val="auto"/>
          </w:rPr>
          <w:t>https://doi.org/10.5281/zenodo.13827861</w:t>
        </w:r>
      </w:hyperlink>
      <w:r w:rsidR="007F464D" w:rsidRPr="006426AD">
        <w:rPr>
          <w:rFonts w:ascii="Times New Roman" w:eastAsia="宋体" w:hAnsi="Times New Roman" w:cs="Times New Roman"/>
        </w:rPr>
        <w:t xml:space="preserve"> </w:t>
      </w:r>
      <w:r w:rsidR="007F464D" w:rsidRPr="006426AD">
        <w:rPr>
          <w:rFonts w:ascii="Times New Roman" w:eastAsia="宋体" w:hAnsi="Times New Roman" w:cs="Times New Roman"/>
        </w:rPr>
        <w:fldChar w:fldCharType="begin"/>
      </w:r>
      <w:r w:rsidR="003E3502">
        <w:rPr>
          <w:rFonts w:ascii="Times New Roman" w:eastAsia="宋体" w:hAnsi="Times New Roman" w:cs="Times New Roman"/>
        </w:rPr>
        <w:instrText xml:space="preserve"> ADDIN ZOTERO_ITEM CSL_CITATION {"citationID":"j8YsjLTK","properties":{"formattedCitation":"(Wu et al., 2024)","plainCitation":"(Wu et al., 2024)","dontUpdate":true,"noteIndex":0},"citationItems":[{"id":3338,"uris":["http://zotero.org/users/10011104/items/WEHY9K4Q"],"itemData":{"id":3338,"type":"dataset","abstract":"This dataset is associated with the publication on Earth System Science Data, with the same title.It includes five sections including the model inputs of the estimation models, the simulation results of global CO2 emission and uptake by year, the variables and ranges considered in the uncertainty analyses of the uptake estimation and the corresponding confidence intervals from the analyses. For detailed explanations of these datasets, one should should refer to the original manuscript.","DOI":"10.5281/zenodo.13827861","publisher":"Zenodo","source":"Zenodo","title":"Global and national CO2 uptake by cement carbonation from 1928 to 2024","URL":"https://zenodo.org/records/13827861","author":[{"family":"Wu","given":"Songbin"},{"family":"Niu","given":"Le"},{"family":"Wang","given":"Jiaoyue"},{"family":"Xi","given":"Fengming"}],"accessed":{"date-parts":[["2024",9,25]]},"issued":{"date-parts":[["2024",9,23]]}}}],"schema":"https://github.com/citation-style-language/schema/raw/master/csl-citation.json"} </w:instrText>
      </w:r>
      <w:r w:rsidR="007F464D" w:rsidRPr="006426AD">
        <w:rPr>
          <w:rFonts w:ascii="Times New Roman" w:eastAsia="宋体" w:hAnsi="Times New Roman" w:cs="Times New Roman"/>
        </w:rPr>
        <w:fldChar w:fldCharType="separate"/>
      </w:r>
      <w:r w:rsidR="007F464D" w:rsidRPr="006426AD">
        <w:rPr>
          <w:rFonts w:ascii="Times New Roman" w:eastAsia="宋体" w:hAnsi="Times New Roman" w:cs="Times New Roman"/>
        </w:rPr>
        <w:t>Wu et al., 2024)</w:t>
      </w:r>
      <w:r w:rsidR="007F464D" w:rsidRPr="006426AD">
        <w:rPr>
          <w:rFonts w:ascii="Times New Roman" w:eastAsia="宋体" w:hAnsi="Times New Roman" w:cs="Times New Roman"/>
        </w:rPr>
        <w:fldChar w:fldCharType="end"/>
      </w:r>
      <w:r w:rsidR="00D11BBB" w:rsidRPr="00D11BBB">
        <w:rPr>
          <w:rFonts w:ascii="Times New Roman" w:hAnsi="Times New Roman"/>
        </w:rPr>
        <w:t>.</w:t>
      </w:r>
      <w:r w:rsidR="007F464D">
        <w:rPr>
          <w:rFonts w:ascii="Times New Roman" w:hAnsi="Times New Roman" w:hint="eastAsia"/>
        </w:rPr>
        <w:t xml:space="preserve"> </w:t>
      </w:r>
      <w:r w:rsidR="0096238C">
        <w:rPr>
          <w:rFonts w:ascii="Times New Roman" w:eastAsiaTheme="minorEastAsia" w:hAnsi="Times New Roman" w:hint="eastAsia"/>
        </w:rPr>
        <w:t>Moreover</w:t>
      </w:r>
      <w:r w:rsidR="0096238C" w:rsidRPr="005A46F5">
        <w:rPr>
          <w:rFonts w:ascii="Times New Roman" w:hAnsi="Times New Roman"/>
        </w:rPr>
        <w:t>,</w:t>
      </w:r>
      <w:r w:rsidR="0096238C">
        <w:rPr>
          <w:rFonts w:ascii="Times New Roman" w:eastAsiaTheme="minorEastAsia" w:hAnsi="Times New Roman" w:hint="eastAsia"/>
        </w:rPr>
        <w:t xml:space="preserve"> further </w:t>
      </w:r>
      <w:r w:rsidR="0096238C" w:rsidRPr="0096238C">
        <w:rPr>
          <w:rFonts w:ascii="Times New Roman" w:eastAsiaTheme="minorEastAsia" w:hAnsi="Times New Roman"/>
        </w:rPr>
        <w:t>research remains necessary to identify appropriate scenarios for departmental application.</w:t>
      </w:r>
      <w:r w:rsidR="0096238C">
        <w:rPr>
          <w:rFonts w:ascii="Times New Roman" w:eastAsiaTheme="minorEastAsia" w:hAnsi="Times New Roman" w:hint="eastAsia"/>
        </w:rPr>
        <w:t xml:space="preserve"> For example, </w:t>
      </w:r>
      <w:r w:rsidR="0096238C" w:rsidRPr="00435147">
        <w:rPr>
          <w:rFonts w:ascii="Times New Roman" w:eastAsia="宋体" w:hAnsi="Times New Roman" w:cs="Times New Roman"/>
        </w:rPr>
        <w:fldChar w:fldCharType="begin"/>
      </w:r>
      <w:r w:rsidR="004F58CC">
        <w:rPr>
          <w:rFonts w:ascii="Times New Roman" w:eastAsia="宋体" w:hAnsi="Times New Roman" w:cs="Times New Roman"/>
        </w:rPr>
        <w:instrText xml:space="preserve"> ADDIN ZOTERO_ITEM CSL_CITATION {"citationID":"ep92CTo6","properties":{"formattedCitation":"(Ostovari et al., 2021)","plainCitation":"(Ostovari et al., 2021)","dontUpdate":true,"noteIndex":0},"citationItems":[{"id":3689,"uris":["http://zotero.org/users/10011104/items/VTVJEBFE"],"itemData":{"id":3689,"type":"article-journal","abstract":"The cement industry emits 7% of the global anthropogenic greenhouse gas (GHG) emissions. Reducing the GHG emissions of the cement industry is challenging since cement production stoichiometrically generates CO2 during calcination of limestone. In this work, we propose a pathway towards a carbon-neutral cement industry using CO2 mineralization. CO2 mineralization converts CO2 into a thermodynamically stable solid and byproducts that can potentially substitute cement. Hence, CO2 mineralization could reduce the carbon footprint of the cement industry via two mechanisms: (1) capturing and storing CO2 from the flue gas of the cement plant, and (2) reducing clinker usage by substituting cement. However, CO2 mineralization also generates GHG emissions due to the energy required for overcoming the slow reaction kinetics. We, therefore, analyze the carbon footprint of the combined CO2 mineralization and cement production based on life cycle assessment. Our results show that combined CO2 mineralization and cement production using today’s energy mix could reduce the carbon footprint of the cement industry by 44% or even up to 85% considering the theoretical potential. Low-carbon energy or higher blending of mineralization products in cement could enable production of carbon-neutral blended cement. With direct air capture, the blended cement could even become carbon-negative. Thus, our results suggest that developing processes and products for combined CO2 mineralization and cement production could transform the cement industry from an unavoidable CO2 source to a CO2 sink.","container-title":"Environmental Science &amp; Technology","DOI":"10.1021/acs.est.0c07599","ISSN":"0013-936X","issue":"8","journalAbbreviation":"Environ. Sci. Technol.","language":"en-US","note":"publisher: American Chemical Society\nTLDR: The results show that combined CO2 mineralization and cement production using today's energy mix could reduce the carbon footprint of the cement industry by 44% or even up to 85% considering the theoretical potential.","page":"5212-5223","source":"ACS Publications","title":"From unavoidable CO2 source to CO2 sink? A cement industry based on CO2 mineralization","title-short":"From Unavoidable CO2 Source to CO2 Sink?","volume":"55","author":[{"family":"Ostovari","given":"Hesam"},{"family":"Müller","given":"Leonard"},{"family":"Skocek","given":"Jan"},{"family":"Bardow","given":"André"}],"issued":{"date-parts":[["2021",4,20]]}}}],"schema":"https://github.com/citation-style-language/schema/raw/master/csl-citation.json"} </w:instrText>
      </w:r>
      <w:r w:rsidR="0096238C" w:rsidRPr="00435147">
        <w:rPr>
          <w:rFonts w:ascii="Times New Roman" w:eastAsia="宋体" w:hAnsi="Times New Roman" w:cs="Times New Roman"/>
        </w:rPr>
        <w:fldChar w:fldCharType="separate"/>
      </w:r>
      <w:r w:rsidR="0096238C" w:rsidRPr="00435147">
        <w:rPr>
          <w:rFonts w:ascii="Times New Roman" w:eastAsia="宋体" w:hAnsi="Times New Roman" w:cs="Times New Roman"/>
          <w:sz w:val="20"/>
        </w:rPr>
        <w:t>Ostovari et al. (2021)</w:t>
      </w:r>
      <w:r w:rsidR="0096238C" w:rsidRPr="00435147">
        <w:rPr>
          <w:rFonts w:ascii="Times New Roman" w:eastAsia="宋体" w:hAnsi="Times New Roman" w:cs="Times New Roman"/>
        </w:rPr>
        <w:fldChar w:fldCharType="end"/>
      </w:r>
      <w:r w:rsidR="0096238C" w:rsidRPr="00435147">
        <w:rPr>
          <w:rFonts w:ascii="Times New Roman" w:eastAsia="宋体" w:hAnsi="Times New Roman" w:cs="Times New Roman"/>
        </w:rPr>
        <w:t xml:space="preserve"> </w:t>
      </w:r>
      <w:r w:rsidR="0096238C" w:rsidRPr="0096238C">
        <w:rPr>
          <w:rFonts w:ascii="Times New Roman" w:eastAsia="宋体" w:hAnsi="Times New Roman" w:cs="Times New Roman"/>
        </w:rPr>
        <w:t>analyze</w:t>
      </w:r>
      <w:r w:rsidR="0096238C">
        <w:rPr>
          <w:rFonts w:ascii="Times New Roman" w:eastAsia="宋体" w:hAnsi="Times New Roman" w:cs="Times New Roman" w:hint="eastAsia"/>
        </w:rPr>
        <w:t>d</w:t>
      </w:r>
      <w:r w:rsidR="0096238C" w:rsidRPr="0096238C">
        <w:rPr>
          <w:rFonts w:ascii="Times New Roman" w:eastAsia="宋体" w:hAnsi="Times New Roman" w:cs="Times New Roman"/>
        </w:rPr>
        <w:t xml:space="preserve"> the carbon footprint of the combined CO</w:t>
      </w:r>
      <w:r w:rsidR="0096238C" w:rsidRPr="0096238C">
        <w:rPr>
          <w:rFonts w:ascii="Times New Roman" w:eastAsia="宋体" w:hAnsi="Times New Roman" w:cs="Times New Roman"/>
          <w:vertAlign w:val="subscript"/>
        </w:rPr>
        <w:t>2</w:t>
      </w:r>
      <w:r w:rsidR="0096238C" w:rsidRPr="0096238C">
        <w:rPr>
          <w:rFonts w:ascii="Times New Roman" w:eastAsia="宋体" w:hAnsi="Times New Roman" w:cs="Times New Roman"/>
        </w:rPr>
        <w:t xml:space="preserve"> mineralization and cement production based on life cycle assessment</w:t>
      </w:r>
      <w:r w:rsidR="0096238C">
        <w:rPr>
          <w:rFonts w:ascii="Times New Roman" w:eastAsia="宋体" w:hAnsi="Times New Roman" w:cs="Times New Roman" w:hint="eastAsia"/>
        </w:rPr>
        <w:t>, and showed</w:t>
      </w:r>
      <w:r w:rsidR="0096238C" w:rsidRPr="00435147">
        <w:rPr>
          <w:rFonts w:ascii="Times New Roman" w:eastAsia="宋体" w:hAnsi="Times New Roman" w:cs="Times New Roman"/>
        </w:rPr>
        <w:t xml:space="preserve"> that integrating CO₂ mineralization with cement production has the potential to transform the cement industry from an unavoidable CO</w:t>
      </w:r>
      <w:r w:rsidR="0096238C" w:rsidRPr="00435147">
        <w:rPr>
          <w:rFonts w:ascii="Times New Roman" w:eastAsia="宋体" w:hAnsi="Times New Roman" w:cs="Times New Roman"/>
          <w:vertAlign w:val="subscript"/>
        </w:rPr>
        <w:t>2</w:t>
      </w:r>
      <w:r w:rsidR="0096238C" w:rsidRPr="00435147">
        <w:rPr>
          <w:rFonts w:ascii="Times New Roman" w:eastAsia="宋体" w:hAnsi="Times New Roman" w:cs="Times New Roman"/>
        </w:rPr>
        <w:t xml:space="preserve"> source to a CO</w:t>
      </w:r>
      <w:r w:rsidR="0096238C" w:rsidRPr="00435147">
        <w:rPr>
          <w:rFonts w:ascii="Times New Roman" w:eastAsia="宋体" w:hAnsi="Times New Roman" w:cs="Times New Roman"/>
          <w:vertAlign w:val="subscript"/>
        </w:rPr>
        <w:t>2</w:t>
      </w:r>
      <w:r w:rsidR="0096238C" w:rsidRPr="00435147">
        <w:rPr>
          <w:rFonts w:ascii="Times New Roman" w:eastAsia="宋体" w:hAnsi="Times New Roman" w:cs="Times New Roman"/>
        </w:rPr>
        <w:t xml:space="preserve"> sink.</w:t>
      </w:r>
      <w:r w:rsidR="0096238C">
        <w:rPr>
          <w:rFonts w:ascii="Times New Roman" w:eastAsia="宋体" w:hAnsi="Times New Roman" w:cs="Times New Roman" w:hint="eastAsia"/>
        </w:rPr>
        <w:t xml:space="preserve"> </w:t>
      </w:r>
      <w:r w:rsidR="004F58CC" w:rsidRPr="00CB6623">
        <w:rPr>
          <w:rFonts w:ascii="Times New Roman" w:eastAsiaTheme="minorEastAsia" w:hAnsi="Times New Roman" w:hint="eastAsia"/>
        </w:rPr>
        <w:t xml:space="preserve">Given mineralization of </w:t>
      </w:r>
      <w:r w:rsidR="004F58CC" w:rsidRPr="00CB6623">
        <w:rPr>
          <w:rFonts w:ascii="Times New Roman" w:eastAsiaTheme="minorEastAsia" w:hAnsi="Times New Roman"/>
        </w:rPr>
        <w:t>cementitious materials</w:t>
      </w:r>
      <w:r w:rsidR="004F58CC" w:rsidRPr="00CB6623">
        <w:rPr>
          <w:rFonts w:ascii="Times New Roman" w:eastAsiaTheme="minorEastAsia" w:hAnsi="Times New Roman" w:hint="eastAsia"/>
        </w:rPr>
        <w:t xml:space="preserve"> </w:t>
      </w:r>
      <w:r w:rsidR="004F58CC" w:rsidRPr="00CB6623">
        <w:rPr>
          <w:rFonts w:ascii="Times New Roman" w:eastAsiaTheme="minorEastAsia" w:hAnsi="Times New Roman"/>
        </w:rPr>
        <w:t>as an important carbon neutral pathway</w:t>
      </w:r>
      <w:r w:rsidR="004F58CC" w:rsidRPr="00CB6623">
        <w:rPr>
          <w:rFonts w:ascii="Times New Roman" w:eastAsiaTheme="minorEastAsia" w:hAnsi="Times New Roman" w:hint="eastAsia"/>
        </w:rPr>
        <w:t xml:space="preserve">, </w:t>
      </w:r>
      <w:r w:rsidR="00910366" w:rsidRPr="00CB6623">
        <w:rPr>
          <w:rFonts w:ascii="Times New Roman" w:hAnsi="Times New Roman"/>
        </w:rPr>
        <w:t>it is essential to evaluate its emission reduction potential and associated risks before implementing it in practice.</w:t>
      </w:r>
    </w:p>
    <w:p w14:paraId="53B227A3" w14:textId="58B3097E" w:rsidR="00D11BBB" w:rsidRPr="00435147" w:rsidRDefault="005A46F5" w:rsidP="007227F4">
      <w:pPr>
        <w:spacing w:before="100" w:beforeAutospacing="1" w:after="100" w:afterAutospacing="1"/>
        <w:ind w:left="720"/>
        <w:rPr>
          <w:rFonts w:ascii="Times New Roman" w:eastAsiaTheme="minorEastAsia" w:hAnsi="Times New Roman" w:cs="Times New Roman"/>
        </w:rPr>
      </w:pPr>
      <w:r>
        <w:rPr>
          <w:rFonts w:ascii="Times New Roman" w:hAnsi="Times New Roman" w:hint="eastAsia"/>
          <w:b/>
          <w:bCs/>
          <w:i/>
          <w:iCs/>
          <w:color w:val="FF0000"/>
        </w:rPr>
        <w:t>Changes:</w:t>
      </w:r>
      <w:r w:rsidRPr="00910366">
        <w:rPr>
          <w:rFonts w:ascii="Times New Roman" w:hAnsi="Times New Roman" w:hint="eastAsia"/>
          <w:i/>
          <w:iCs/>
        </w:rPr>
        <w:t xml:space="preserve"> </w:t>
      </w:r>
      <w:r w:rsidR="0096238C" w:rsidRPr="0096238C">
        <w:rPr>
          <w:rFonts w:ascii="Times New Roman" w:hAnsi="Times New Roman"/>
        </w:rPr>
        <w:t xml:space="preserve">In order to avoid misunderstandings in the presentation, we have </w:t>
      </w:r>
      <w:r w:rsidR="0096238C">
        <w:rPr>
          <w:rFonts w:ascii="Times New Roman" w:eastAsiaTheme="minorEastAsia" w:hAnsi="Times New Roman" w:hint="eastAsia"/>
        </w:rPr>
        <w:t xml:space="preserve">changed the presentation </w:t>
      </w:r>
      <w:r w:rsidR="00910366" w:rsidRPr="00910366">
        <w:rPr>
          <w:rFonts w:ascii="Times New Roman" w:hAnsi="Times New Roman" w:hint="eastAsia"/>
        </w:rPr>
        <w:t xml:space="preserve">in the section 3.1: </w:t>
      </w:r>
      <w:r w:rsidR="00435147" w:rsidRPr="00435147">
        <w:rPr>
          <w:rFonts w:ascii="Times New Roman" w:eastAsiaTheme="minorEastAsia" w:hAnsi="Times New Roman"/>
        </w:rPr>
        <w:t>“</w:t>
      </w:r>
      <w:bookmarkStart w:id="8" w:name="_Hlk186469629"/>
      <w:r w:rsidR="00435147" w:rsidRPr="00435147">
        <w:rPr>
          <w:rFonts w:ascii="Times New Roman" w:eastAsia="宋体" w:hAnsi="Times New Roman" w:cs="Times New Roman"/>
        </w:rPr>
        <w:t xml:space="preserve">The significant carbon sequestration of cement materials makes them one of important carbon sinks in the global carbon cycle. Moreover, the potential of carbon capture, utilization and storage (CCUS) can contribute 36 % of the reduction for the cement industry to achieve net-zero emissions </w:t>
      </w:r>
      <w:r w:rsidR="00435147" w:rsidRPr="00435147">
        <w:rPr>
          <w:rFonts w:ascii="Times New Roman" w:eastAsia="宋体" w:hAnsi="Times New Roman" w:cs="Times New Roman"/>
        </w:rPr>
        <w:fldChar w:fldCharType="begin"/>
      </w:r>
      <w:r w:rsidR="00435147" w:rsidRPr="00435147">
        <w:rPr>
          <w:rFonts w:ascii="Times New Roman" w:eastAsia="宋体" w:hAnsi="Times New Roman" w:cs="Times New Roman"/>
        </w:rPr>
        <w:instrText xml:space="preserve"> ADDIN ZOTERO_ITEM CSL_CITATION {"citationID":"koMd7H19","properties":{"formattedCitation":"(Technology Roadmap - Low-Carbon Transition in the Cement Industry \\uc0\\u8211{} Analysis, 2024)","plainCitation":"(Technology Roadmap - Low-Carbon Transition in the Cement Industry – Analysis, 2024)","dontUpdate":true,"noteIndex":0},"citationItems":[{"id":3089,"uris":["http://zotero.org/users/10011104/items/LXCUNZBE"],"itemData":{"id":3089,"type":"webpage","abstract":"Technology Roadmap - Low-Carbon  Transition in the Cement Industry - Analysis and key findings. A report by the International Energy Agency.","container-title":"IEA","language":"en-GB","title":"Technology Roadmap - Low-Carbon Transition in the Cement Industry – Analysis","URL":"https://www.iea.org/reports/technology-roadmap-low-carbon-transition-in-the-cement-industry","author":[{"family":"International Energy Association.","given":""}],"accessed":{"date-parts":[["2024",8,2]]},"issued":{"date-parts":[["2018",4,6]]}}}],"schema":"https://github.com/citation-style-language/schema/raw/master/csl-citation.json"} </w:instrText>
      </w:r>
      <w:r w:rsidR="00435147" w:rsidRPr="00435147">
        <w:rPr>
          <w:rFonts w:ascii="Times New Roman" w:eastAsia="宋体" w:hAnsi="Times New Roman" w:cs="Times New Roman"/>
        </w:rPr>
        <w:fldChar w:fldCharType="separate"/>
      </w:r>
      <w:r w:rsidR="00435147" w:rsidRPr="00435147">
        <w:rPr>
          <w:rFonts w:ascii="Times New Roman" w:eastAsiaTheme="minorEastAsia" w:hAnsi="Times New Roman" w:cs="Times New Roman"/>
        </w:rPr>
        <w:t>(IEA</w:t>
      </w:r>
      <w:r w:rsidR="00435147" w:rsidRPr="00435147">
        <w:rPr>
          <w:rFonts w:ascii="Times New Roman" w:hAnsi="Times New Roman" w:cs="Times New Roman"/>
        </w:rPr>
        <w:t>, 2024)</w:t>
      </w:r>
      <w:r w:rsidR="00435147" w:rsidRPr="00435147">
        <w:rPr>
          <w:rFonts w:ascii="Times New Roman" w:eastAsia="宋体" w:hAnsi="Times New Roman" w:cs="Times New Roman"/>
        </w:rPr>
        <w:fldChar w:fldCharType="end"/>
      </w:r>
      <w:r w:rsidR="00435147" w:rsidRPr="00435147">
        <w:rPr>
          <w:rFonts w:ascii="Times New Roman" w:eastAsia="宋体" w:hAnsi="Times New Roman" w:cs="Times New Roman"/>
        </w:rPr>
        <w:t xml:space="preserve">. Many studies have explored the mechanisms and properties of accelerated carbonation in cement materials, including concrete </w:t>
      </w:r>
      <w:r w:rsidR="00435147" w:rsidRPr="00435147">
        <w:rPr>
          <w:rFonts w:ascii="Times New Roman" w:eastAsia="宋体" w:hAnsi="Times New Roman" w:cs="Times New Roman"/>
        </w:rPr>
        <w:fldChar w:fldCharType="begin"/>
      </w:r>
      <w:r w:rsidR="00435147" w:rsidRPr="00435147">
        <w:rPr>
          <w:rFonts w:ascii="Times New Roman" w:eastAsia="宋体" w:hAnsi="Times New Roman" w:cs="Times New Roman"/>
        </w:rPr>
        <w:instrText xml:space="preserve"> ADDIN ZOTERO_ITEM CSL_CITATION {"citationID":"Dcr9HVmw","properties":{"formattedCitation":"(Alshalif et al., 2021, 2022)","plainCitation":"(Alshalif et al., 2021, 2022)","noteIndex":0},"citationItems":[{"id":3102,"uris":["http://zotero.org/users/10011104/items/E7RUS4L6"],"itemData":{"id":3102,"type":"article-journal","abstract":"The current technologies used for reducing CO2 emission are not sufficient to sequestrate the high amount of CO2 in atmospheric. This research rolls up a new direction of CO2 sequestration process in bio-foamed concrete bricks (B-FCB) using Bacillus tequilensis 401 as an acceleration factor of natural carbonation. The strain of B. tequilensis 401 was isolated from cement kiln dust (CKD) and adapted to B-FCB environment. It produces carbon anhydrase (CA) and urease enzymes to accelerate sequestration process of CO2. The sequestration of CO2 into B-FCB was optimised based on; concrete density (D), B. tequilensis 401 concentration (B), temperature (T), and CO2 percentage (CO2). Two methods were used in design of experiments (DOE) by Minitab 18 included; 2k factorial design and Response Surface Methodology (RSM) analysis. The results reveal that the factors exhibited significant effects on sequestration process. The optimal carbonation depth of B-FCB was 12.2 mm under the following conditions: 20 % of CO2, 3 × 105 cell/mL of B, 40 °C of T, and 1300 kg/m3 of D at 28 days. B. tequilensis 401 in B-FCB increased carbonation depth by 30 % compared to FCB at 28 days. The increase in carbonation depth resulted in increased formation of calcium carbonate (CaCO3) in B-FCB compared to FCB, which is confirmed by microstructure analysis using SEX, EDX, and XRD.","call-number":"2","container-title":"Journal of CO2 Utilization","DOI":"10.1016/j.jcou.2020.101412","ISSN":"2212-9820","journalAbbreviation":"Journal of CO2 Utilization","page":"101412","source":"7.7","title":"Optimisation of carbon dioxide sequestration into bio-foamed concrete bricks pores using &lt;i&gt;Bacillus tequilensis&lt;/i&gt;","volume":"44","author":[{"family":"Alshalif","given":"Abdullah Faisal"},{"family":"Irwan","given":"J. M."},{"family":"Othman","given":"N."},{"family":"Al-Gheethi","given":"A. A."},{"family":"Shamsudin","given":"S."},{"family":"Nasser","given":"Ibrahim M."}],"issued":{"date-parts":[["2021",2,1]]}}},{"id":3100,"uris":["http://zotero.org/users/10011104/items/WY7MLSMK"],"itemData":{"id":3100,"type":"article-journal","abstract":"The paper reviewed the current perspectives on the development of carbon dioxide (CO2) sequestration through its process conversion into calcite. The process occurs in either geological or biological systems. However, geological sequestration is an expensive process, which is slow in comparison to bio-sequestration. Recently, the bio-sequestration of atmospheric CO2 into the soil using microorganisms such as algae has been investigated. However, the algae cannot be used in the bio-concrete due to their nature as phototrophic organisms. In contrast, bacteria are the most potent organisms in bio-concrete technology. The use of bacterial species in the bio-aerated concrete bricks (B-ACB) and its potential to bio-sequestrate CO2 represents a future strategy to reduce high CO2 pollution. Bacterial cells can capture CO2 by accelerating the carbonation processes, which convert CO2 into calcium carbonate (CaCO3) via carbon anhydrase and urease enzymes. The present paper aimed to highlight and discuss the applicability of bacteria in the B-ACB for capturing and storing CO2. It is evident from the literature that the new trends to use bio-concrete might contribute to the reduction of CO2 by accelerating the carbonation process and strengthening the B-ACB.","call-number":"4","container-title":"European Journal of Environmental and Civil Engineering","DOI":"10.1080/19648189.2020.1713899","ISSN":"1964-8189","issue":"3","note":"publisher: Taylor &amp; Francis\n_eprint: https://doi.org/10.1080/19648189.2020.1713899","page":"1209-1228","source":"2.1","title":"A systematic review on bio-sequestration of carbon dioxide in bio-concrete systems: a future direction","title-short":"A systematic review on bio-sequestration of carbon dioxide in bio-concrete systems","volume":"26","author":[{"family":"Alshalif","given":"Abdullah Faisal"},{"family":"Irwan","given":"J. M."},{"family":"Othman","given":"N."},{"family":"Al-Gheethi","given":"A. A."},{"family":"Shamsudin","given":"S."}],"issued":{"date-parts":[["2022",2,17]]}},"label":"page"}],"schema":"https://github.com/citation-style-language/schema/raw/master/csl-citation.json"} </w:instrText>
      </w:r>
      <w:r w:rsidR="00435147" w:rsidRPr="00435147">
        <w:rPr>
          <w:rFonts w:ascii="Times New Roman" w:eastAsia="宋体" w:hAnsi="Times New Roman" w:cs="Times New Roman"/>
        </w:rPr>
        <w:fldChar w:fldCharType="separate"/>
      </w:r>
      <w:r w:rsidR="00435147" w:rsidRPr="00435147">
        <w:rPr>
          <w:rFonts w:ascii="Times New Roman" w:eastAsia="宋体" w:hAnsi="Times New Roman" w:cs="Times New Roman"/>
        </w:rPr>
        <w:t>(Alshalif et al., 2021, 2022)</w:t>
      </w:r>
      <w:r w:rsidR="00435147" w:rsidRPr="00435147">
        <w:rPr>
          <w:rFonts w:ascii="Times New Roman" w:eastAsia="宋体" w:hAnsi="Times New Roman" w:cs="Times New Roman"/>
        </w:rPr>
        <w:fldChar w:fldCharType="end"/>
      </w:r>
      <w:r w:rsidR="00435147" w:rsidRPr="00435147">
        <w:rPr>
          <w:rFonts w:ascii="Times New Roman" w:eastAsia="宋体" w:hAnsi="Times New Roman" w:cs="Times New Roman"/>
        </w:rPr>
        <w:t xml:space="preserve">, cement paste </w:t>
      </w:r>
      <w:r w:rsidR="00435147" w:rsidRPr="00435147">
        <w:rPr>
          <w:rFonts w:ascii="Times New Roman" w:eastAsia="宋体" w:hAnsi="Times New Roman" w:cs="Times New Roman"/>
        </w:rPr>
        <w:fldChar w:fldCharType="begin"/>
      </w:r>
      <w:r w:rsidR="00435147" w:rsidRPr="00435147">
        <w:rPr>
          <w:rFonts w:ascii="Times New Roman" w:eastAsia="宋体" w:hAnsi="Times New Roman" w:cs="Times New Roman"/>
        </w:rPr>
        <w:instrText xml:space="preserve"> ADDIN ZOTERO_ITEM CSL_CITATION {"citationID":"CgcncKGk","properties":{"formattedCitation":"(Castellote et al., 2008; Morandeau et al., 2015)","plainCitation":"(Castellote et al., 2008; Morandeau et al., 2015)","noteIndex":0},"citationItems":[{"id":3098,"uris":["http://zotero.org/users/10011104/items/PI2I36HN"],"itemData":{"id":3098,"type":"article-journal","abstract":"In-situ monitoring of the changes that take place in the phase composition of cement pastes during accelerated carbonation (100% CO2) for different binders, has been carried out, by taking Neutron Diffraction patterns in parallel with the carbonation experiments. The variation of the intensity of chosen reflections for each phase along the experiment has been used to monitor concentration changes and has supplied data, in real time, for fractional conversion of different phases (Portlandite, Ettringite and CSH gel) of the hydrated cement pastes. Fitting of these results has allowed to make a qualitative approach to the kinetics of the carbonation of the different phases and extracting conclusions on the microstructural changes that takes place during the carbonation of cement pastes.","call-number":"1","container-title":"Cement and Concrete Research","DOI":"10.1016/j.cemconres.2008.07.002","ISSN":"0008-8846","issue":"12","journalAbbreviation":"Cement and Concrete Research","language":"en-US","page":"1365-1373","source":"11.4","title":"Accelerated carbonation of cement pastes in situ monitored by neutron diffraction","volume":"38","author":[{"family":"Castellote","given":"M."},{"family":"Andrade","given":"C."},{"family":"Turrillas","given":"X."},{"family":"Campo","given":"J."},{"family":"Cuello","given":"G. J."}],"issued":{"date-parts":[["2008",12,1]]}},"label":"page"},{"id":3091,"uris":["http://zotero.org/users/10011104/items/AC2CWM2U"],"itemData":{"id":3091,"type":"article-journal","abstract":"Cement is a huge carbon dioxide producer. Supplementary cementitious materials can help reduce this outcome. However, carbonation of these blended cements remains an active subject of research. Accelerated carbonation tests (10% CO2, 25°C and 62% RH) are performed on fly ash blended cement pastes. Experiments are performed at varying ages of carbonation (1 to 16weeks) to measure the evolution of the carbonation depth over time and to quantify key parameters: thermogravimetric analysis (TGA), mercury intrusion porosimetry (MIP) and gamma ray attenuation method (GRAM). The total porosity decreases with a rearrangement of the microstructure due to carbonation and the creation of big capillary pores for the paste with the highest contents of fly ash (60vol.%). The C-S-H molar volume evolution during fly ash-blended cement carbonation is calculated using a method combining MIP, TGA and GRAM formerly successfully applied to OPC paste in a paper published in the same journal.","call-number":"1","container-title":"Cement and Concrete Research","DOI":"10.1016/j.cemconres.2014.10.003","ISSN":"0008-8846","journalAbbreviation":"Cement and Concrete Research","language":"en-US","page":"226-236","source":"11.4","title":"Impact of accelerated carbonation on OPC cement paste blended with fly ash","volume":"67","author":[{"family":"Morandeau","given":"A."},{"family":"Thiéry","given":"M."},{"family":"Dangla","given":"P."}],"issued":{"date-parts":[["2015",1,1]]}},"label":"page"}],"schema":"https://github.com/citation-style-language/schema/raw/master/csl-citation.json"} </w:instrText>
      </w:r>
      <w:r w:rsidR="00435147" w:rsidRPr="00435147">
        <w:rPr>
          <w:rFonts w:ascii="Times New Roman" w:eastAsia="宋体" w:hAnsi="Times New Roman" w:cs="Times New Roman"/>
        </w:rPr>
        <w:fldChar w:fldCharType="separate"/>
      </w:r>
      <w:r w:rsidR="00435147" w:rsidRPr="00435147">
        <w:rPr>
          <w:rFonts w:ascii="Times New Roman" w:eastAsia="宋体" w:hAnsi="Times New Roman" w:cs="Times New Roman"/>
        </w:rPr>
        <w:t>(Castellote et al., 2008; Morandeau et al., 2015)</w:t>
      </w:r>
      <w:r w:rsidR="00435147" w:rsidRPr="00435147">
        <w:rPr>
          <w:rFonts w:ascii="Times New Roman" w:eastAsia="宋体" w:hAnsi="Times New Roman" w:cs="Times New Roman"/>
        </w:rPr>
        <w:fldChar w:fldCharType="end"/>
      </w:r>
      <w:r w:rsidR="00435147" w:rsidRPr="00435147">
        <w:rPr>
          <w:rFonts w:ascii="Times New Roman" w:eastAsia="宋体" w:hAnsi="Times New Roman" w:cs="Times New Roman"/>
          <w:lang w:val="nb-NO"/>
        </w:rPr>
        <w:t xml:space="preserve">, slag cement </w:t>
      </w:r>
      <w:r w:rsidR="00435147" w:rsidRPr="00435147">
        <w:rPr>
          <w:rFonts w:ascii="Times New Roman" w:eastAsia="宋体" w:hAnsi="Times New Roman" w:cs="Times New Roman"/>
        </w:rPr>
        <w:fldChar w:fldCharType="begin"/>
      </w:r>
      <w:r w:rsidR="00435147" w:rsidRPr="00435147">
        <w:rPr>
          <w:rFonts w:ascii="Times New Roman" w:eastAsia="宋体" w:hAnsi="Times New Roman" w:cs="Times New Roman"/>
          <w:lang w:val="nb-NO"/>
        </w:rPr>
        <w:instrText xml:space="preserve"> ADDIN ZOTERO_ITEM CSL_CITATION {"citationID":"7Aa293ls","properties":{"formattedCitation":"(Mo and Panesar, 2013)","plainCitation":"(Mo and Panesar, 2013)","noteIndex":0},"citationItems":[{"id":3096,"uris":["http://zotero.org/users/10011104/items/P8HGZ77H"],"itemData":{"id":3096,"type":"article-journal","abstract":"The cement industry and concrete producers are under pressure to reduce the carbon footprint and energy demands of cement-based construction materials. This study investigates the CO2 uptake of paste mixtures designed with general use (GU) Portland cement, ground granulated blast furnace slag (GGBFS) and reactive MgO as cement replacement due to exposure to an accelerated carbonation curing regime with 99.9% concentration of CO2. The CO2 uptake, carbonation mechanism, microstructure and microhardness of cement pastes are examined. Key outcomes revealed that: (i) samples exposed to accelerated carbonation curing exhibit a denser microstructure and higher microhardness in comparison to non-carbonated samples, (ii) irrespective of the presence of reactive MgO, CO2 uptake increases with age from 7 to 56d, (iii) by 56d, pastes containing 10% and 20% reactive MgO uptake similar amounts of CO2 in comparison to mixtures without reactive MgO, and (iv) pastes containing 40% reactive MgO uptake the least amount of CO2 however, exhibit the greatest microhardness and the lowest porosity.","container-title":"Cement and Concrete Composites","DOI":"10.1016/j.cemconcomp.2013.07.001","ISSN":"0958-9465","journalAbbreviation":"Cement and Concrete Composites","page":"69-77","source":"ScienceDirect","title":"Accelerated carbonation – A potential approach to sequester CO2 in cement paste containing slag and reactive MgO","volume":"43","author":[{"family":"Mo","given":"Liwu"},{"family":"Panesar","given":"Daman K."}],"issued":{"date-parts":[["2013",10,1]]}}}],"schema":"https://github.com/citation-style-language/schema/raw/master/csl-citation.json"} </w:instrText>
      </w:r>
      <w:r w:rsidR="00435147" w:rsidRPr="00435147">
        <w:rPr>
          <w:rFonts w:ascii="Times New Roman" w:eastAsia="宋体" w:hAnsi="Times New Roman" w:cs="Times New Roman"/>
        </w:rPr>
        <w:fldChar w:fldCharType="separate"/>
      </w:r>
      <w:r w:rsidR="00435147" w:rsidRPr="00435147">
        <w:rPr>
          <w:rFonts w:ascii="Times New Roman" w:eastAsia="宋体" w:hAnsi="Times New Roman" w:cs="Times New Roman"/>
        </w:rPr>
        <w:t>(Mo and Panesar, 2013)</w:t>
      </w:r>
      <w:r w:rsidR="00435147" w:rsidRPr="00435147">
        <w:rPr>
          <w:rFonts w:ascii="Times New Roman" w:eastAsia="宋体" w:hAnsi="Times New Roman" w:cs="Times New Roman"/>
        </w:rPr>
        <w:fldChar w:fldCharType="end"/>
      </w:r>
      <w:r w:rsidR="00435147" w:rsidRPr="00435147">
        <w:rPr>
          <w:rFonts w:ascii="Times New Roman" w:eastAsia="宋体" w:hAnsi="Times New Roman" w:cs="Times New Roman"/>
          <w:lang w:val="nb-NO"/>
        </w:rPr>
        <w:t xml:space="preserve">, and CKD </w:t>
      </w:r>
      <w:r w:rsidR="00435147" w:rsidRPr="00435147">
        <w:rPr>
          <w:rFonts w:ascii="Times New Roman" w:eastAsia="宋体" w:hAnsi="Times New Roman" w:cs="Times New Roman"/>
        </w:rPr>
        <w:fldChar w:fldCharType="begin"/>
      </w:r>
      <w:r w:rsidR="00435147" w:rsidRPr="00435147">
        <w:rPr>
          <w:rFonts w:ascii="Times New Roman" w:eastAsia="宋体" w:hAnsi="Times New Roman" w:cs="Times New Roman"/>
          <w:lang w:val="nb-NO"/>
        </w:rPr>
        <w:instrText xml:space="preserve"> ADDIN ZOTERO_ITEM CSL_CITATION {"citationID":"r9FIhyil","properties":{"formattedCitation":"(Pu et al., 2023)","plainCitation":"(Pu et al., 2023)","noteIndex":0},"citationItems":[{"id":3094,"uris":["http://zotero.org/users/10011104/items/I9XHG9VS"],"itemData":{"id":3094,"type":"article-journal","abstract":"Accelerated carbonation is an innovative technology for enhancing cement-based materials as well as mitigating CO2 emissions. The present article comprehensively summarizes the research status, relative mechanisms and application effect of accelerated carbonation in cement-based materials life cycle. The accelerated carbonation methods and strategies for enhancing carbonation efficiency are fully discussed. CO2 mitigation potential, research gaps and future perspectives of this technology are systematically analyzed. Results showed that, through carbonation reactions, cement-based wastes could be utilized to extract high-purity calcium carbonates, and valorized as high-quality recycled aggregates. Compared with traditional curing methods, CO2 curing could promote materials to achieve superior compressive strength and durability due to the formation of calcium carbonate. In addition, the application scenarios, carbonation conditions and advantages in industry practice of standard, pressurized and flow-through accelerated carbonation were distinct. Liquid-solid carbonation, high temperature, pretreatment with calcium-rich solutions were sugge</w:instrText>
      </w:r>
      <w:r w:rsidR="00435147" w:rsidRPr="00435147">
        <w:rPr>
          <w:rFonts w:ascii="Times New Roman" w:eastAsia="宋体" w:hAnsi="Times New Roman" w:cs="Times New Roman"/>
        </w:rPr>
        <w:instrText xml:space="preserve">sted as efficient ways for enhancing carbonation efficiency. Moreover, CO2 sequestration and the reduction of cement addition contributed to CO2 mitigation. This review provides valuable insights into recent advances and future perspectives on the application of accelerated carbonation in the concrete industry.","call-number":"1","container-title":"Construction and Building Materials","DOI":"10.1016/j.conbuildmat.2023.131695","ISSN":"0950-0618","journalAbbreviation":"Construction and Building Materials","page":"131695","source":"7.4","title":"Recent advances in accelerated carbonation for improving cement-based materials and CO2 mitigation from a life cycle perspective","volume":"388","author":[{"family":"Pu","given":"Yunhui"},{"family":"Li","given":"Lang"},{"family":"Shi","given":"Xiaoshuang"},{"family":"Wang","given":"Qingyuan"},{"family":"Abomohra","given":"Abdelfatah"}],"issued":{"date-parts":[["2023",7,24]]}}}],"schema":"https://github.com/citation-style-language/schema/raw/master/csl-citation.json"} </w:instrText>
      </w:r>
      <w:r w:rsidR="00435147" w:rsidRPr="00435147">
        <w:rPr>
          <w:rFonts w:ascii="Times New Roman" w:eastAsia="宋体" w:hAnsi="Times New Roman" w:cs="Times New Roman"/>
        </w:rPr>
        <w:fldChar w:fldCharType="separate"/>
      </w:r>
      <w:r w:rsidR="00435147" w:rsidRPr="00435147">
        <w:rPr>
          <w:rFonts w:ascii="Times New Roman" w:eastAsia="宋体" w:hAnsi="Times New Roman" w:cs="Times New Roman"/>
        </w:rPr>
        <w:t>(Pu et al., 2023)</w:t>
      </w:r>
      <w:r w:rsidR="00435147" w:rsidRPr="00435147">
        <w:rPr>
          <w:rFonts w:ascii="Times New Roman" w:eastAsia="宋体" w:hAnsi="Times New Roman" w:cs="Times New Roman"/>
        </w:rPr>
        <w:fldChar w:fldCharType="end"/>
      </w:r>
      <w:r w:rsidR="00435147" w:rsidRPr="00435147">
        <w:rPr>
          <w:rFonts w:ascii="Times New Roman" w:eastAsia="宋体" w:hAnsi="Times New Roman" w:cs="Times New Roman"/>
        </w:rPr>
        <w:t xml:space="preserve">. </w:t>
      </w:r>
      <w:r w:rsidR="00435147" w:rsidRPr="00435147">
        <w:rPr>
          <w:rFonts w:ascii="Times New Roman" w:eastAsia="宋体" w:hAnsi="Times New Roman" w:cs="Times New Roman"/>
        </w:rPr>
        <w:fldChar w:fldCharType="begin"/>
      </w:r>
      <w:r w:rsidR="004F58CC">
        <w:rPr>
          <w:rFonts w:ascii="Times New Roman" w:eastAsia="宋体" w:hAnsi="Times New Roman" w:cs="Times New Roman"/>
        </w:rPr>
        <w:instrText xml:space="preserve"> ADDIN ZOTERO_ITEM CSL_CITATION {"citationID":"hGzCMzG1","properties":{"formattedCitation":"(Ostovari et al., 2021)","plainCitation":"(Ostovari et al., 2021)","dontUpdate":true,"noteIndex":0},"citationItems":[{"id":3689,"uris":["http://zotero.org/users/10011104/items/VTVJEBFE"],"itemData":{"id":3689,"type":"article-journal","abstract":"The cement industry emits 7% of the global anthropogenic greenhouse gas (GHG) emissions. Reducing the GHG emissions of the cement industry is challenging since cement production stoichiometrically generates CO2 during calcination of limestone. In this work, we propose a pathway towards a carbon-neutral cement industry using CO2 mineralization. CO2 mineralization converts CO2 into a thermodynamically stable solid and byproducts that can potentially substitute cement. Hence, CO2 mineralization could reduce the carbon footprint of the cement industry via two mechanisms: (1) capturing and storing CO2 from the flue gas of the cement plant, and (2) reducing clinker usage by substituting cement. However, CO2 mineralization also generates GHG emissions due to the energy required for overcoming the slow reaction kinetics. We, therefore, analyze the carbon footprint of the combined CO2 mineralization and cement production based on life cycle assessment. Our results show that combined CO2 mineralization and cement production using today’s energy mix could reduce the carbon footprint of the cement industry by 44% or even up to 85% considering the theoretical potential. Low-carbon energy or higher blending of mineralization products in cement could enable production of carbon-neutral blended cement. With direct air capture, the blended cement could even become carbon-negative. Thus, our results suggest that developing processes and products for combined CO2 mineralization and cement production could transform the cement industry from an unavoidable CO2 source to a CO2 sink.","container-title":"Environmental Science &amp; Technology","DOI":"10.1021/acs.est.0c07599","ISSN":"0013-936X","issue":"8","journalAbbreviation":"Environ. Sci. Technol.","language":"en-US","note":"publisher: American Chemical Society\nTLDR: The results show that combined CO2 mineralization and cement production using today's energy mix could reduce the carbon footprint of the cement industry by 44% or even up to 85% considering the theoretical potential.","page":"5212-5223","source":"ACS Publications","title":"From unavoidable CO2 source to CO2 sink? A cement industry based on CO2 mineralization","title-short":"From Unavoidable CO2 Source to CO2 Sink?","volume":"55","author":[{"family":"Ostovari","given":"Hesam"},{"family":"Müller","given":"Leonard"},{"family":"Skocek","given":"Jan"},{"family":"Bardow","given":"André"}],"issued":{"date-parts":[["2021",4,20]]}}}],"schema":"https://github.com/citation-style-language/schema/raw/master/csl-citation.json"} </w:instrText>
      </w:r>
      <w:r w:rsidR="00435147" w:rsidRPr="00435147">
        <w:rPr>
          <w:rFonts w:ascii="Times New Roman" w:eastAsia="宋体" w:hAnsi="Times New Roman" w:cs="Times New Roman"/>
        </w:rPr>
        <w:fldChar w:fldCharType="separate"/>
      </w:r>
      <w:r w:rsidR="00435147" w:rsidRPr="00435147">
        <w:rPr>
          <w:rFonts w:ascii="Times New Roman" w:eastAsia="宋体" w:hAnsi="Times New Roman" w:cs="Times New Roman"/>
          <w:sz w:val="20"/>
        </w:rPr>
        <w:t>Ostovari et al. (2021)</w:t>
      </w:r>
      <w:r w:rsidR="00435147" w:rsidRPr="00435147">
        <w:rPr>
          <w:rFonts w:ascii="Times New Roman" w:eastAsia="宋体" w:hAnsi="Times New Roman" w:cs="Times New Roman"/>
        </w:rPr>
        <w:fldChar w:fldCharType="end"/>
      </w:r>
      <w:r w:rsidR="00435147" w:rsidRPr="00435147">
        <w:rPr>
          <w:rFonts w:ascii="Times New Roman" w:eastAsia="宋体" w:hAnsi="Times New Roman" w:cs="Times New Roman"/>
        </w:rPr>
        <w:t xml:space="preserve"> demonstrated that integrating CO₂ mineralization with cement production has the potential to transform the cement industry from an unavoidable CO</w:t>
      </w:r>
      <w:r w:rsidR="00435147" w:rsidRPr="00435147">
        <w:rPr>
          <w:rFonts w:ascii="Times New Roman" w:eastAsia="宋体" w:hAnsi="Times New Roman" w:cs="Times New Roman"/>
          <w:vertAlign w:val="subscript"/>
        </w:rPr>
        <w:t>2</w:t>
      </w:r>
      <w:r w:rsidR="00435147" w:rsidRPr="00435147">
        <w:rPr>
          <w:rFonts w:ascii="Times New Roman" w:eastAsia="宋体" w:hAnsi="Times New Roman" w:cs="Times New Roman"/>
        </w:rPr>
        <w:t xml:space="preserve"> source to a CO</w:t>
      </w:r>
      <w:r w:rsidR="00435147" w:rsidRPr="00435147">
        <w:rPr>
          <w:rFonts w:ascii="Times New Roman" w:eastAsia="宋体" w:hAnsi="Times New Roman" w:cs="Times New Roman"/>
          <w:vertAlign w:val="subscript"/>
        </w:rPr>
        <w:t>2</w:t>
      </w:r>
      <w:r w:rsidR="00435147" w:rsidRPr="00435147">
        <w:rPr>
          <w:rFonts w:ascii="Times New Roman" w:eastAsia="宋体" w:hAnsi="Times New Roman" w:cs="Times New Roman"/>
        </w:rPr>
        <w:t xml:space="preserve"> sink. Certainly, carbon capture is widely regarded as the only viable solution for significantly reducing CO₂ emissions from cement production to meet the 2050 mitigation targets </w:t>
      </w:r>
      <w:r w:rsidR="00435147" w:rsidRPr="00435147">
        <w:rPr>
          <w:rFonts w:ascii="Times New Roman" w:eastAsia="宋体" w:hAnsi="Times New Roman" w:cs="Times New Roman"/>
        </w:rPr>
        <w:fldChar w:fldCharType="begin"/>
      </w:r>
      <w:r w:rsidR="00435147" w:rsidRPr="00435147">
        <w:rPr>
          <w:rFonts w:ascii="Times New Roman" w:eastAsia="宋体" w:hAnsi="Times New Roman" w:cs="Times New Roman"/>
        </w:rPr>
        <w:instrText xml:space="preserve"> ADDIN ZOTERO_ITEM CSL_CITATION {"citationID":"nrTXA6sM","properties":{"formattedCitation":"(Schneider, 2019)","plainCitation":"(Schneider, 2019)","noteIndex":0},"citationItems":[{"id":3694,"uris":["http://zotero.org/users/10011104/items/ADTEUJK2"],"itemData":{"id":3694,"type":"article-journal","container-title":"Cement and Concrete Research","DOI":"10.1016/j.cemconres.2019.105792","ISSN":"0008-8846","journalAbbreviation":"Cement and Concrete Research","page":"105792","source":"ScienceDirect","title":"The cement industry on the way to a low-carbon future","volume":"124","author":[{"family":"Schneider","given":"Martin"}],"issued":{"date-parts":[["2019",10,1]]}}}],"schema":"https://github.com/citation-style-language/schema/raw/master/csl-citation.json"} </w:instrText>
      </w:r>
      <w:r w:rsidR="00435147" w:rsidRPr="00435147">
        <w:rPr>
          <w:rFonts w:ascii="Times New Roman" w:eastAsia="宋体" w:hAnsi="Times New Roman" w:cs="Times New Roman"/>
        </w:rPr>
        <w:fldChar w:fldCharType="separate"/>
      </w:r>
      <w:r w:rsidR="00435147" w:rsidRPr="00435147">
        <w:rPr>
          <w:rFonts w:ascii="Times New Roman" w:eastAsia="宋体" w:hAnsi="Times New Roman" w:cs="Times New Roman"/>
          <w:sz w:val="20"/>
        </w:rPr>
        <w:t>(Schneider, 2019)</w:t>
      </w:r>
      <w:r w:rsidR="00435147" w:rsidRPr="00435147">
        <w:rPr>
          <w:rFonts w:ascii="Times New Roman" w:eastAsia="宋体" w:hAnsi="Times New Roman" w:cs="Times New Roman"/>
        </w:rPr>
        <w:fldChar w:fldCharType="end"/>
      </w:r>
      <w:r w:rsidR="00435147" w:rsidRPr="00435147">
        <w:rPr>
          <w:rFonts w:ascii="Times New Roman" w:eastAsia="宋体" w:hAnsi="Times New Roman" w:cs="Times New Roman"/>
        </w:rPr>
        <w:t>, but further research is required to assess the economic costs and potential risks associated with their implementation.</w:t>
      </w:r>
      <w:bookmarkEnd w:id="8"/>
      <w:r w:rsidR="00435147" w:rsidRPr="00435147">
        <w:rPr>
          <w:rFonts w:ascii="Times New Roman" w:eastAsia="宋体" w:hAnsi="Times New Roman" w:cs="Times New Roman"/>
        </w:rPr>
        <w:t>”</w:t>
      </w:r>
    </w:p>
    <w:p w14:paraId="6DA07AE0" w14:textId="77777777" w:rsidR="006E4C52" w:rsidRPr="006E4C52" w:rsidRDefault="006E4C52" w:rsidP="00852A17">
      <w:pPr>
        <w:numPr>
          <w:ilvl w:val="0"/>
          <w:numId w:val="1"/>
        </w:numPr>
        <w:spacing w:before="100" w:beforeAutospacing="1" w:after="100" w:afterAutospacing="1"/>
        <w:rPr>
          <w:rFonts w:ascii="Times New Roman" w:hAnsi="Times New Roman"/>
        </w:rPr>
      </w:pPr>
      <w:r w:rsidRPr="006E4C52">
        <w:rPr>
          <w:rFonts w:ascii="Times New Roman" w:hAnsi="Times New Roman"/>
          <w:b/>
          <w:bCs/>
        </w:rPr>
        <w:t>Comparison with Previous Studies</w:t>
      </w:r>
    </w:p>
    <w:p w14:paraId="4096CF59" w14:textId="77777777" w:rsidR="006E4C52" w:rsidRDefault="006E4C52" w:rsidP="00852A17">
      <w:pPr>
        <w:spacing w:before="100" w:beforeAutospacing="1" w:after="100" w:afterAutospacing="1"/>
        <w:ind w:left="720"/>
        <w:rPr>
          <w:rFonts w:ascii="Times New Roman" w:hAnsi="Times New Roman"/>
        </w:rPr>
      </w:pPr>
      <w:r w:rsidRPr="006E4C52">
        <w:rPr>
          <w:rFonts w:ascii="Times New Roman" w:hAnsi="Times New Roman"/>
        </w:rPr>
        <w:t xml:space="preserve">As this study is an update of Huang et al. (2023) with some shared figures but updated results, it would be helpful to include an explicit comparison with previous reports. Are </w:t>
      </w:r>
      <w:r w:rsidRPr="006E4C52">
        <w:rPr>
          <w:rFonts w:ascii="Times New Roman" w:hAnsi="Times New Roman"/>
        </w:rPr>
        <w:lastRenderedPageBreak/>
        <w:t>there any revised conclusions, corrections, or new insights presented in this update?</w:t>
      </w:r>
    </w:p>
    <w:p w14:paraId="08CA202C" w14:textId="09AD1307" w:rsidR="004F623C" w:rsidRDefault="00910366" w:rsidP="00852A17">
      <w:pPr>
        <w:spacing w:before="100" w:beforeAutospacing="1" w:after="100" w:afterAutospacing="1"/>
        <w:ind w:left="720"/>
        <w:rPr>
          <w:rFonts w:ascii="Times New Roman" w:hAnsi="Times New Roman"/>
        </w:rPr>
      </w:pPr>
      <w:r w:rsidRPr="00C1215B">
        <w:rPr>
          <w:rFonts w:ascii="Times New Roman" w:hAnsi="Times New Roman" w:hint="eastAsia"/>
          <w:b/>
          <w:bCs/>
          <w:i/>
          <w:iCs/>
          <w:color w:val="FF0000"/>
        </w:rPr>
        <w:t>Response:</w:t>
      </w:r>
      <w:r w:rsidRPr="004F623C">
        <w:rPr>
          <w:rFonts w:ascii="Times New Roman" w:hAnsi="Times New Roman" w:hint="eastAsia"/>
        </w:rPr>
        <w:t xml:space="preserve"> </w:t>
      </w:r>
      <w:r w:rsidR="004F623C" w:rsidRPr="004F623C">
        <w:rPr>
          <w:rFonts w:ascii="Times New Roman" w:hAnsi="Times New Roman" w:hint="eastAsia"/>
        </w:rPr>
        <w:t>Thank you for your valuable comments and suggestions</w:t>
      </w:r>
      <w:r w:rsidR="004F623C">
        <w:rPr>
          <w:rFonts w:ascii="Times New Roman" w:hAnsi="Times New Roman" w:hint="eastAsia"/>
        </w:rPr>
        <w:t xml:space="preserve">. </w:t>
      </w:r>
      <w:r w:rsidR="003E3502" w:rsidRPr="003E3502">
        <w:rPr>
          <w:rFonts w:ascii="Times New Roman" w:hAnsi="Times New Roman"/>
        </w:rPr>
        <w:t>In Section 2.2 of the manuscript, we provide a detailed discussion of the improvements made in this study compared to the previous research</w:t>
      </w:r>
      <w:r w:rsidR="003E3502">
        <w:rPr>
          <w:rFonts w:ascii="Times New Roman" w:hAnsi="Times New Roman" w:hint="eastAsia"/>
        </w:rPr>
        <w:t xml:space="preserve"> </w:t>
      </w:r>
      <w:r w:rsidR="003E3502">
        <w:rPr>
          <w:rFonts w:ascii="Times New Roman" w:hAnsi="Times New Roman"/>
        </w:rPr>
        <w:fldChar w:fldCharType="begin"/>
      </w:r>
      <w:r w:rsidR="003E3502">
        <w:rPr>
          <w:rFonts w:ascii="Times New Roman" w:hAnsi="Times New Roman"/>
        </w:rPr>
        <w:instrText xml:space="preserve"> ADDIN ZOTERO_ITEM CSL_CITATION {"citationID":"n9SLoIfW","properties":{"formattedCitation":"(Huang et al., 2023)","plainCitation":"(Huang et al., 2023)","noteIndex":0},"citationItems":[{"id":2589,"uris":["http://zotero.org/users/10011104/items/92W43XB7"],"itemData":{"id":2589,"type":"article-journal","abstract":"The main contributor to the greenhouse gas (GHG) footprint of the cement industry is the decomposition of alkaline carbonates during clinker production. However, systematic accounts for the reverse of this process – namely carbonation of calcium oxide and other alkaline oxides and/or hydroxides within cement materials during cements' life cycles – have only recently been undertaken. Here, adopting a comprehensive analytical model, we provide the most updated estimates of CO2 uptake by cement carbonation. The accumulated amount of global CO2 uptake by cements produced from 1930 to 2021 is estimated to be 22.9 Gt CO2 (95 % confidence interval, CI: 19.6–26.6 Gt CO2). This amount includes the CO2 uptake by concrete, mortar, construction waste and kiln dust, accounting for 30.1 %, 58.5 %, 4.0 % and 7.1 % respectively. The cumulative carbon uptake by cement materials from 1930 to 2021 offsets 55.1 % of the emissions from cement production (41.6 Gt CO2, 95 % CI: 38.7–47.2 Gt CO2) over the same period, with the greater part coming from mortar (58.5 % of the total uptake). China has the highest cement carbon uptake, with cumulative carbonation of 7.06 Gt CO2 (95 % CI: 5.22–9.44 Gt CO2) since 1930. In addition, the carbon uptake amounts of the USA, EU, India and the rest of the world took 5.0 %, 23.2 %, 5.6 % and 34.8 % separately. As a result of rapidly increased production in recent years, over three-quarters of the cement carbon uptake has occurred since 1990. Additionally, our results show little impact by the COVID-19 pandemic on cement production and use, with carbon uptake reaching about 0.92 Gt CO2 (95 % CI: 0.78–1.10 Gt CO2) in 2020 and 0.96 Gt CO2 (95 % CI: 0.81–1.15 Gt CO2) in 2021. Our uniformly formatted and most updated cement uptake inventories provide coherent data-based support for including cement carbon uptake into future carbon budgets from the local to global scale. The latest version contains the uptake data till 2021, showing the global uptake's increasing pattern and offering more usable and relevant data for evaluating cement's carbon uptake capacity. All the data described in this study are accessible at https://doi.org/10.5281/zenodo.7516373 (Bing et al., 2023).","call-number":"1","container-title":"Earth System Science Data","DOI":"10.5194/essd-15-4947-2023","ISSN":"1866-3508","issue":"11","language":"en-US","note":"publisher: Copernicus GmbH","page":"4947-4958","source":"11.4","title":"Global carbon uptake of cement carbonation accounts 1930–2021","volume":"15","author":[{"family":"Huang","given":"Zi"},{"family":"Wang","given":"Jiaoyue"},{"family":"Bing","given":"Longfei"},{"family":"Qiu","given":"Yijiao"},{"family":"Guo","given":"Rui"},{"family":"Yu","given":"Ying"},{"family":"Ma","given":"Mingjing"},{"family":"Niu","given":"Le"},{"family":"Tong","given":"Dan"},{"family":"Andrew","given":"Robbie M."},{"family":"Friedlingstein","given":"Pierre"},{"family":"Canadell","given":"Josep G."},{"family":"Xi","given":"Fengming"},{"family":"Liu","given":"Zhu"}],"issued":{"date-parts":[["2023",11,7]]}}}],"schema":"https://github.com/citation-style-language/schema/raw/master/csl-citation.json"} </w:instrText>
      </w:r>
      <w:r w:rsidR="003E3502">
        <w:rPr>
          <w:rFonts w:ascii="Times New Roman" w:hAnsi="Times New Roman"/>
        </w:rPr>
        <w:fldChar w:fldCharType="separate"/>
      </w:r>
      <w:r w:rsidR="003E3502" w:rsidRPr="003E3502">
        <w:rPr>
          <w:rFonts w:ascii="Times New Roman" w:hAnsi="Times New Roman" w:cs="Times New Roman" w:hint="eastAsia"/>
        </w:rPr>
        <w:t>(Huang et al., 2023)</w:t>
      </w:r>
      <w:r w:rsidR="003E3502">
        <w:rPr>
          <w:rFonts w:ascii="Times New Roman" w:hAnsi="Times New Roman"/>
        </w:rPr>
        <w:fldChar w:fldCharType="end"/>
      </w:r>
      <w:r w:rsidR="003E3502">
        <w:rPr>
          <w:rFonts w:ascii="Times New Roman" w:hAnsi="Times New Roman" w:hint="eastAsia"/>
        </w:rPr>
        <w:t xml:space="preserve">. As </w:t>
      </w:r>
      <w:r w:rsidR="003E3502" w:rsidRPr="003E3502">
        <w:rPr>
          <w:rFonts w:ascii="Times New Roman" w:hAnsi="Times New Roman"/>
        </w:rPr>
        <w:t xml:space="preserve">mentioned in the </w:t>
      </w:r>
      <w:r w:rsidR="003E3502">
        <w:rPr>
          <w:rFonts w:ascii="Times New Roman" w:hAnsi="Times New Roman" w:hint="eastAsia"/>
        </w:rPr>
        <w:t>manuscript</w:t>
      </w:r>
      <w:r w:rsidR="003E3502" w:rsidRPr="003E3502">
        <w:rPr>
          <w:rFonts w:ascii="Times New Roman" w:hAnsi="Times New Roman"/>
        </w:rPr>
        <w:t>,</w:t>
      </w:r>
      <w:r w:rsidR="003E3502">
        <w:rPr>
          <w:rFonts w:ascii="Times New Roman" w:hAnsi="Times New Roman" w:hint="eastAsia"/>
        </w:rPr>
        <w:t xml:space="preserve"> t</w:t>
      </w:r>
      <w:r w:rsidR="003E3502" w:rsidRPr="003E3502">
        <w:rPr>
          <w:rFonts w:ascii="Times New Roman" w:hAnsi="Times New Roman"/>
        </w:rPr>
        <w:t xml:space="preserve">he key update </w:t>
      </w:r>
      <w:r w:rsidR="003E3502">
        <w:rPr>
          <w:rFonts w:ascii="Times New Roman" w:hAnsi="Times New Roman" w:hint="eastAsia"/>
        </w:rPr>
        <w:t xml:space="preserve">of this study </w:t>
      </w:r>
      <w:r w:rsidR="003E3502" w:rsidRPr="003E3502">
        <w:rPr>
          <w:rFonts w:ascii="Times New Roman" w:hAnsi="Times New Roman"/>
        </w:rPr>
        <w:t>focuses on a more refined analysis of cement carbon sequestration across different countries worldwide.</w:t>
      </w:r>
      <w:r w:rsidR="003E3502">
        <w:rPr>
          <w:rFonts w:ascii="Times New Roman" w:hAnsi="Times New Roman" w:hint="eastAsia"/>
        </w:rPr>
        <w:t xml:space="preserve"> </w:t>
      </w:r>
      <w:r w:rsidR="003E3502" w:rsidRPr="003E3502">
        <w:rPr>
          <w:rFonts w:ascii="Times New Roman" w:hAnsi="Times New Roman"/>
        </w:rPr>
        <w:t>While the earlier version only covered the United States, China, India, and European countries</w:t>
      </w:r>
      <w:r w:rsidR="003E3502">
        <w:rPr>
          <w:rFonts w:ascii="Times New Roman" w:hAnsi="Times New Roman" w:hint="eastAsia"/>
        </w:rPr>
        <w:t xml:space="preserve"> </w:t>
      </w:r>
      <w:bookmarkStart w:id="9" w:name="_Hlk178932719"/>
      <w:r w:rsidR="003E3502" w:rsidRPr="003E3502">
        <w:rPr>
          <w:rFonts w:ascii="Times New Roman" w:eastAsiaTheme="minorEastAsia" w:hAnsi="Times New Roman" w:cs="Times New Roman"/>
        </w:rPr>
        <w:fldChar w:fldCharType="begin"/>
      </w:r>
      <w:r w:rsidR="003E3502" w:rsidRPr="003E3502">
        <w:rPr>
          <w:rFonts w:ascii="Times New Roman" w:eastAsiaTheme="minorEastAsia" w:hAnsi="Times New Roman" w:cs="Times New Roman"/>
        </w:rPr>
        <w:instrText xml:space="preserve"> ADDIN ZOTERO_ITEM CSL_CITATION {"citationID":"sbQCRAwV","properties":{"unsorted":true,"formattedCitation":"(Xi et al., 2016; Guo et al., 2021; Huang et al., 2023)","plainCitation":"(Xi et al., 2016; Guo et al., 2021; Huang et al., 2023)","noteIndex":0},"citationItems":[{"id":2304,"uris":["http://zotero.org/users/10011104/items/Y5UEED99"],"itemData":{"id":2304,"type":"article-journal","abstract":"Cement production is a source of CO2. Analysis of carbonation, a process that sequesters CO2 during the lifetime of cement, suggests that between 1930 and 2013, it has offset 43% of CO2 emissions from cement production globally.","call-number":"1","container-title":"Nature Geoscience","DOI":"10.1038/ngeo2840","ISSN":"1752-0908","issue":"12","journalAbbreviation":"Nature Geosci","language":"en","license":"2016 Springer Nature Limited","note":"publisher: Nature Publishing Group","page":"880-883","source":"18.3","title":"Substantial global carbon uptake by cement carbonation","volume":"9","author":[{"family":"Xi","given":"Fengming"},{"family":"Davis","given":"Steven J."},{"family":"Ciais","given":"Philippe"},{"family":"Crawford-Brown","given":"Douglas"},{"family":"Guan","given":"Dabo"},{"family":"Pade","given":"Claus"},{"family":"Shi","given":"Tiemao"},{"family":"Syddall","given":"Mark"},{"family":"Lv","given":"Jie"},{"family":"Ji","given":"Lanzhu"},{"family":"Bing","given":"Longfei"},{"family":"Wang","given":"Jiaoyue"},{"family":"Wei","given":"Wei"},{"family":"Yang","given":"Keun-Hyeok"},{"family":"Lagerblad","given":"Björn"},{"family":"Galan","given":"Isabel"},{"family":"Andrade","given":"Carmen"},{"family":"Zhang","given":"Ying"},{"family":"Liu","given":"Zhu"}],"issued":{"date-parts":[["2016",12]]}},"label":"page"},{"id":2587,"uris":["http://zotero.org/users/10011104/items/2Z52T3PG"],"itemData":{"id":2587,"type":"article-journal","abstract":"Because of the alkaline nature and high calcium content of cements in general, they serve as a CO2-absorbing agent through carbonation processes, resembling silicate weathering in nature. This carbon uptake capacity of cements could abate some of the CO2 emitted during their production. Given the scale of cement production worldwide (4.10 Gt in 2019), a life-cycle assessment is necessary to determine the actual net carbon impacts of this industry. We adopted a comprehensive analytical model to estimate the amount of CO2 that had been absorbed from 1930 to 2019 in four types of cement materials, including concrete, mortar, construction waste, and cement kiln dust (CKD). In addition, the process CO2 emission during the same period based on the same datasets was also estimated. The results show that 21.02 Gt CO2 (95 % confidence interval, CI: 18.01–24.41 Gt CO2) had been absorbed in the cements produced from 1930 to 2019, with the 2019 annual figure mounting up to 0.89 Gt CO2 yr</w:instrText>
      </w:r>
      <w:r w:rsidR="003E3502" w:rsidRPr="003E3502">
        <w:rPr>
          <w:rFonts w:ascii="Times New Roman" w:eastAsia="微软雅黑" w:hAnsi="Times New Roman" w:cs="Times New Roman"/>
        </w:rPr>
        <w:instrText>−</w:instrText>
      </w:r>
      <w:r w:rsidR="003E3502" w:rsidRPr="003E3502">
        <w:rPr>
          <w:rFonts w:ascii="Times New Roman" w:eastAsiaTheme="minorEastAsia" w:hAnsi="Times New Roman" w:cs="Times New Roman"/>
        </w:rPr>
        <w:instrText>1 (95 % CI: 0.76</w:instrText>
      </w:r>
      <w:r w:rsidR="003E3502" w:rsidRPr="003E3502">
        <w:rPr>
          <w:rFonts w:ascii="Times New Roman" w:eastAsia="等线" w:hAnsi="Times New Roman" w:cs="Times New Roman"/>
        </w:rPr>
        <w:instrText>–</w:instrText>
      </w:r>
      <w:r w:rsidR="003E3502" w:rsidRPr="003E3502">
        <w:rPr>
          <w:rFonts w:ascii="Times New Roman" w:eastAsiaTheme="minorEastAsia" w:hAnsi="Times New Roman" w:cs="Times New Roman"/>
        </w:rPr>
        <w:instrText>1.06 Gt CO2). The cumulative uptake is equivalent to approximately 55 % of the process emission based on our estimation. In particular, China's dominant position in cement production or consumption in recent decades also gives rise to its uptake being the greatest, with a cumulative sink of 6.21 Gt CO2 (95 % CI: 4.59</w:instrText>
      </w:r>
      <w:r w:rsidR="003E3502" w:rsidRPr="003E3502">
        <w:rPr>
          <w:rFonts w:ascii="Times New Roman" w:eastAsia="等线" w:hAnsi="Times New Roman" w:cs="Times New Roman"/>
        </w:rPr>
        <w:instrText>–</w:instrText>
      </w:r>
      <w:r w:rsidR="003E3502" w:rsidRPr="003E3502">
        <w:rPr>
          <w:rFonts w:ascii="Times New Roman" w:eastAsiaTheme="minorEastAsia" w:hAnsi="Times New Roman" w:cs="Times New Roman"/>
        </w:rPr>
        <w:instrText xml:space="preserve">8.32 Gt CO2) since 1930. Among the four types of cement materials, mortar is estimated to be the greatest contributor (approximately 59 %) to the total uptake. Potentially, our cement emission and uptake estimation system can be updated annually and modified when necessary for future low-carbon transitions in the cement industry. All the data described in this study, including the Monte Carlo uncertainty analysis results, are accessible at https://doi.org/10.5281/zenodo.4459729 (Wang et al., 2021).","call-number":"1","container-title":"Earth System Science Data","DOI":"10.5194/essd-13-1791-2021","ISSN":"1866-3508","issue":"4","language":"en-US","note":"publisher: Copernicus GmbH","page":"1791-1805","source":"11.4","title":"Global CO&lt;sub&gt;2&lt;/sub&gt; uptake by cement from 1930 to 2019","volume":"13","author":[{"family":"Guo","given":"Rui"},{"family":"Wang","given":"Jiaoyue"},{"family":"Bing","given":"Longfei"},{"family":"Tong","given":"Dan"},{"family":"Ciais","given":"Philippe"},{"family":"Davis","given":"Steven J."},{"family":"Andrew","given":"Robbie M."},{"family":"Xi","given":"Fengming"},{"family":"Liu","given":"Zhu"}],"issued":{"date-parts":[["2021",4,30]]}},"label":"page"},{"id":2589,"uris":["http://zotero.org/users/10011104/items/92W43XB7"],"itemData":{"id":2589,"type":"article-journal","abstract":"The main contributor to the greenhouse gas (GHG) footprint of the cement industry is the decomposition of alkaline carbonates during clinker production. However, systematic accounts for the reverse of this process – namely carbonation of calcium oxide and other alkaline oxides and/or hydroxides within cement materials during cements' life cycles – have only recently been undertaken. Here, adopting a comprehensive analytical model, we provide the most updated estimates of CO2 uptake by cement carbonation. The accumulated amount of global CO2 uptake by cements produced from 1930 to 2021 is estimated to be 22.9 Gt CO2 (95 % confidence interval, CI: 19.6–26.6 Gt CO2). This amount includes the CO2 uptake by concrete, mortar, construction waste and kiln dust, accounting for 30.1 %, 58.5 %, 4.0 % and 7.1 % respectively. The cumulative carbon uptake by cement materials from 1930 to 2021 offsets 55.1 % of the emissions from cement production (41.6 Gt CO2, 95 % CI: 38.7–47.2 Gt CO2) over the same period, with the greater part coming from mortar (58.5 % of the total uptake). China has the highest cement carbon uptake, with cumulative carbonation of 7.06 Gt CO2 (95 % CI: 5.22–9.44 Gt CO2) since 1930. In addition, the carbon uptake amounts of the USA, EU, India and the rest of the world took 5.0 %, 23.2 %, 5.6 % and 34.8 % separately. As a result of rapidly increased production in recent years, over three-quarters of the cement carbon uptake has occurred since 1990. Additionally, our results show little impact by the COVID-19 pandemic on cement production and use, with carbon uptake reaching about 0.92 Gt CO2 (95 % CI: 0.78–1.10 Gt CO2) in 2020 and 0.96 Gt CO2 (95 % CI: 0.81–1.15 Gt CO2) in 2021. Our uniformly formatted and most updated cement uptake inventories provide coherent data-based support for including cement carbon uptake into future carbon budgets from the local to global scale. The latest version contains the uptake data till 2021, showing the global uptake's increasing pattern and offering more usable and relevant data for evaluating cement's carbon uptake capacity. All the data described in this study are accessible at https://doi.org/10.5281/zenodo.7516373 (Bing et al., 2023).","call-number":"1","container-title":"Earth System Science Data","DOI":"10.5194/essd-15-4947-2023","ISSN":"1866-3508","issue":"11","language":"en-US","note":"publisher: Copernicus GmbH","page":"4947-4958","source":"11.4","title":"Global carbon uptake of cement carbonation accounts 1930–2021","volume":"15","author":[{"family":"Huang","given":"Zi"},{"family":"Wang","given":"Jiaoyue"},{"family":"Bing","given":"Longfei"},{"family":"Qiu","given":"Yijiao"},{"family":"Guo","given":"Rui"},{"family":"Yu","given":"Ying"},{"family":"Ma","given":"Mingjing"},{"family":"Niu","given":"Le"},{"family":"Tong","given":"Dan"},{"family":"Andrew","given":"Robbie M."},{"family":"Friedlingstein","given":"Pierre"},{"family":"Canadell","given":"Josep G."},{"family":"Xi","given":"Fengming"},{"family":"Liu","given":"Zhu"}],"issued":{"date-parts":[["2023",11,7]]}},"label":"page"}],"schema":"https://github.com/citation-style-language/schema/raw/master/csl-citation.json"} </w:instrText>
      </w:r>
      <w:r w:rsidR="003E3502" w:rsidRPr="003E3502">
        <w:rPr>
          <w:rFonts w:ascii="Times New Roman" w:eastAsiaTheme="minorEastAsia" w:hAnsi="Times New Roman" w:cs="Times New Roman"/>
        </w:rPr>
        <w:fldChar w:fldCharType="separate"/>
      </w:r>
      <w:r w:rsidR="003E3502" w:rsidRPr="003E3502">
        <w:rPr>
          <w:rFonts w:ascii="Times New Roman" w:eastAsiaTheme="minorEastAsia" w:hAnsi="Times New Roman" w:cs="Times New Roman"/>
        </w:rPr>
        <w:t>(Xi et al., 2016; Guo et al., 2021; Huang et al., 2023)</w:t>
      </w:r>
      <w:r w:rsidR="003E3502" w:rsidRPr="003E3502">
        <w:rPr>
          <w:rFonts w:ascii="Times New Roman" w:eastAsiaTheme="minorEastAsia" w:hAnsi="Times New Roman" w:cs="Times New Roman"/>
        </w:rPr>
        <w:fldChar w:fldCharType="end"/>
      </w:r>
      <w:bookmarkEnd w:id="9"/>
      <w:r w:rsidR="003E3502" w:rsidRPr="003E3502">
        <w:rPr>
          <w:rFonts w:ascii="Times New Roman" w:hAnsi="Times New Roman"/>
        </w:rPr>
        <w:t>, this study</w:t>
      </w:r>
      <w:r w:rsidR="003E3502">
        <w:rPr>
          <w:rFonts w:ascii="Times New Roman" w:hAnsi="Times New Roman" w:hint="eastAsia"/>
        </w:rPr>
        <w:t xml:space="preserve"> first</w:t>
      </w:r>
      <w:r w:rsidR="003E3502" w:rsidRPr="003E3502">
        <w:rPr>
          <w:rFonts w:ascii="Times New Roman" w:hAnsi="Times New Roman"/>
        </w:rPr>
        <w:t xml:space="preserve"> expands the scope to include 163 countries.</w:t>
      </w:r>
      <w:r w:rsidR="003E3502">
        <w:rPr>
          <w:rFonts w:ascii="Times New Roman" w:hAnsi="Times New Roman" w:hint="eastAsia"/>
        </w:rPr>
        <w:t xml:space="preserve"> </w:t>
      </w:r>
      <w:r w:rsidR="003E3502" w:rsidRPr="003E3502">
        <w:rPr>
          <w:rFonts w:ascii="Times New Roman" w:hAnsi="Times New Roman"/>
        </w:rPr>
        <w:t xml:space="preserve">This refinement in country-level accounting for cement </w:t>
      </w:r>
      <w:r w:rsidR="003E3502">
        <w:rPr>
          <w:rFonts w:ascii="Times New Roman" w:hAnsi="Times New Roman" w:hint="eastAsia"/>
        </w:rPr>
        <w:t>CO</w:t>
      </w:r>
      <w:r w:rsidR="003E3502" w:rsidRPr="003E3502">
        <w:rPr>
          <w:rFonts w:ascii="Times New Roman" w:hAnsi="Times New Roman" w:hint="eastAsia"/>
          <w:vertAlign w:val="subscript"/>
        </w:rPr>
        <w:t>2</w:t>
      </w:r>
      <w:r w:rsidR="003E3502" w:rsidRPr="003E3502">
        <w:rPr>
          <w:rFonts w:ascii="Times New Roman" w:hAnsi="Times New Roman"/>
        </w:rPr>
        <w:t xml:space="preserve"> </w:t>
      </w:r>
      <w:r w:rsidR="003E3502">
        <w:rPr>
          <w:rFonts w:ascii="Times New Roman" w:hAnsi="Times New Roman" w:hint="eastAsia"/>
        </w:rPr>
        <w:t>uptake</w:t>
      </w:r>
      <w:r w:rsidR="003E3502" w:rsidRPr="003E3502">
        <w:rPr>
          <w:rFonts w:ascii="Times New Roman" w:hAnsi="Times New Roman"/>
        </w:rPr>
        <w:t xml:space="preserve"> allows us to uncover trends in the global distribution of carbon sequestration by cement materials over nearly a century. </w:t>
      </w:r>
      <w:r w:rsidR="00852A17">
        <w:rPr>
          <w:rFonts w:ascii="Times New Roman" w:hAnsi="Times New Roman" w:hint="eastAsia"/>
        </w:rPr>
        <w:t>Furthermore</w:t>
      </w:r>
      <w:r w:rsidR="003E3502" w:rsidRPr="003E3502">
        <w:rPr>
          <w:rFonts w:ascii="Times New Roman" w:hAnsi="Times New Roman"/>
        </w:rPr>
        <w:t>, we analyze the emission reduction characteristics of cement carbon sequestration in various countries, revealing that 21 countries have already achieved carbon neutrality in cement production. Th</w:t>
      </w:r>
      <w:r w:rsidR="00852A17">
        <w:rPr>
          <w:rFonts w:ascii="Times New Roman" w:hAnsi="Times New Roman" w:hint="eastAsia"/>
        </w:rPr>
        <w:t>ese</w:t>
      </w:r>
      <w:r w:rsidR="003E3502" w:rsidRPr="003E3502">
        <w:rPr>
          <w:rFonts w:ascii="Times New Roman" w:hAnsi="Times New Roman"/>
        </w:rPr>
        <w:t xml:space="preserve"> finding</w:t>
      </w:r>
      <w:r w:rsidR="00852A17">
        <w:rPr>
          <w:rFonts w:ascii="Times New Roman" w:hAnsi="Times New Roman" w:hint="eastAsia"/>
        </w:rPr>
        <w:t>s</w:t>
      </w:r>
      <w:r w:rsidR="003E3502" w:rsidRPr="003E3502">
        <w:rPr>
          <w:rFonts w:ascii="Times New Roman" w:hAnsi="Times New Roman"/>
        </w:rPr>
        <w:t xml:space="preserve"> represent one of the most significant new contributions of our study and is highlighted in Sections 3.2 and 3.3 of the manuscript.</w:t>
      </w:r>
    </w:p>
    <w:p w14:paraId="04A87150" w14:textId="35F2FD52" w:rsidR="00852A17" w:rsidRPr="00813DA3" w:rsidRDefault="00852A17" w:rsidP="00852A17">
      <w:pPr>
        <w:spacing w:before="100" w:beforeAutospacing="1" w:after="100" w:afterAutospacing="1"/>
        <w:ind w:left="720"/>
        <w:rPr>
          <w:rFonts w:ascii="Times New Roman" w:eastAsiaTheme="minorEastAsia" w:hAnsi="Times New Roman"/>
        </w:rPr>
      </w:pPr>
      <w:r w:rsidRPr="00852A17">
        <w:rPr>
          <w:rFonts w:ascii="Times New Roman" w:hAnsi="Times New Roman"/>
        </w:rPr>
        <w:t>Accounting for global cement carbon sequestration has been a primary goal of our research. In this study, we have expanded the time span of the global cement carbon sequestration database from the previous period of 1930 to 2021 to cover 1928 to 2024. Compared to global cement carbon uptake in 2021, our findings show a decline in 2022 and 2023, with respectively reductions of 1.1% and 2.8% from the previous year. However, global cement carbon uptake in 2024 is expected to experience a slight rebound, driven by strong market activity in Southeast Asia and Africa</w:t>
      </w:r>
      <w:r>
        <w:rPr>
          <w:rFonts w:ascii="Times New Roman" w:hAnsi="Times New Roman" w:hint="eastAsia"/>
        </w:rPr>
        <w:t xml:space="preserve"> </w:t>
      </w:r>
      <w:r>
        <w:rPr>
          <w:rFonts w:ascii="Times New Roman" w:hAnsi="Times New Roman"/>
        </w:rPr>
        <w:fldChar w:fldCharType="begin"/>
      </w:r>
      <w:r>
        <w:rPr>
          <w:rFonts w:ascii="Times New Roman" w:hAnsi="Times New Roman"/>
        </w:rPr>
        <w:instrText xml:space="preserve"> ADDIN ZOTERO_ITEM CSL_CITATION {"citationID":"tUlvvrqM","properties":{"formattedCitation":"(Cheng et al., 2023)","plainCitation":"(Cheng et al., 2023)","noteIndex":0},"citationItems":[{"id":3043,"uris":["http://zotero.org/users/10011104/items/A48C4927"],"itemData":{"id":3043,"type":"article-journal","abstract":"Achieving low-carbon development of the cement industry in the developing countries is fundamental to global emissions abatement, considering the local construction industry’s rapid growth. However, there is currently a lack of systematic and accurate accounting and projection of cement emissions in developing countries, which are characterized with lower basic economic country condition. Here, we provide bottom-up quantifications of emissions from global cement production and reveal a regional shift in the main contributors to global cement CO2 emissions. The study further explores cement emissions over 2020-2050 that correspond to different housing and infrastructure conditions and emissions mitigation options for all developing countries except China. We find that cement emissions in developing countries except China will reach 1.4-3.8 Gt in 2050 (depending on different industrialization trajectories), compared to their annual emissions of 0.7 Gt in 2018. The optimal combination of low-carbon measures could contribute to reducing annual emissions by around 65% in 2050 and cumulative emissions by around 48% over 2020-2050. The efficient technological paths towards a low carbon future of cement industry vary among the countries and infrastructure scenarios. Our results are essential to understanding future emissions patterns of the cement industry in the developing countries and can inform policies in the cement sector that contribute to meeting the climate targets set out in the Paris Agreement.","call-number":"1","container-title":"Nature Communications","DOI":"10.1038/s41467-023-43660-x","ISSN":"2041-1723","issue":"1","journalAbbreviation":"Nat Commun","language":"en","license":"2023 The Author(s)","note":"publisher: Nature Publishing Group","page":"8213","source":"16.6","title":"Projecting future carbon emissions from cement production in developing countries","volume":"14","author":[{"family":"Cheng","given":"Danyang"},{"family":"Reiner","given":"David M."},{"family":"Yang","given":"Fan"},{"family":"Cui","given":"Can"},{"family":"Meng","given":"Jing"},{"family":"Shan","given":"Yuli"},{"family":"Liu","given":"Yunhui"},{"family":"Tao","given":"Shu"},{"family":"Guan","given":"Dabo"}],"issued":{"date-parts":[["2023",12,11]]}}}],"schema":"https://github.com/citation-style-language/schema/raw/master/csl-citation.json"} </w:instrText>
      </w:r>
      <w:r>
        <w:rPr>
          <w:rFonts w:ascii="Times New Roman" w:hAnsi="Times New Roman"/>
        </w:rPr>
        <w:fldChar w:fldCharType="separate"/>
      </w:r>
      <w:r w:rsidRPr="00852A17">
        <w:rPr>
          <w:rFonts w:ascii="Times New Roman" w:hAnsi="Times New Roman" w:cs="Times New Roman" w:hint="eastAsia"/>
        </w:rPr>
        <w:t>(Cheng et al., 2023)</w:t>
      </w:r>
      <w:r>
        <w:rPr>
          <w:rFonts w:ascii="Times New Roman" w:hAnsi="Times New Roman"/>
        </w:rPr>
        <w:fldChar w:fldCharType="end"/>
      </w:r>
      <w:r w:rsidRPr="00852A17">
        <w:rPr>
          <w:rFonts w:ascii="Times New Roman" w:hAnsi="Times New Roman"/>
        </w:rPr>
        <w:t>, with an estimated increase of around 2.0% compared to the previous year.</w:t>
      </w:r>
      <w:r w:rsidR="00813DA3">
        <w:rPr>
          <w:rFonts w:ascii="Times New Roman" w:eastAsiaTheme="minorEastAsia" w:hAnsi="Times New Roman" w:hint="eastAsia"/>
        </w:rPr>
        <w:t xml:space="preserve"> </w:t>
      </w:r>
    </w:p>
    <w:p w14:paraId="63E502A5" w14:textId="0F99E185" w:rsidR="00B2101F" w:rsidRPr="00B2101F" w:rsidRDefault="00B2101F" w:rsidP="00B2101F">
      <w:pPr>
        <w:spacing w:before="100" w:beforeAutospacing="1" w:after="100" w:afterAutospacing="1"/>
        <w:ind w:left="720"/>
        <w:rPr>
          <w:rFonts w:ascii="Times New Roman" w:eastAsiaTheme="minorEastAsia" w:hAnsi="Times New Roman" w:cs="Times New Roman"/>
        </w:rPr>
      </w:pPr>
      <w:r w:rsidRPr="00B2101F">
        <w:rPr>
          <w:rFonts w:ascii="Times New Roman" w:hAnsi="Times New Roman" w:cs="Times New Roman"/>
        </w:rPr>
        <w:t xml:space="preserve">In addition, this study calibrates cement clinker consumption, </w:t>
      </w:r>
      <w:r>
        <w:rPr>
          <w:rFonts w:ascii="Times New Roman" w:eastAsia="宋体" w:hAnsi="Times New Roman" w:cs="Times New Roman" w:hint="eastAsia"/>
        </w:rPr>
        <w:t xml:space="preserve">therefore </w:t>
      </w:r>
      <w:r w:rsidRPr="00B2101F">
        <w:rPr>
          <w:rFonts w:ascii="Times New Roman" w:hAnsi="Times New Roman" w:cs="Times New Roman"/>
        </w:rPr>
        <w:t>two variables</w:t>
      </w:r>
      <w:r>
        <w:rPr>
          <w:rFonts w:ascii="Times New Roman" w:eastAsiaTheme="minorEastAsia" w:hAnsi="Times New Roman" w:cs="Times New Roman" w:hint="eastAsia"/>
        </w:rPr>
        <w:t xml:space="preserve"> w</w:t>
      </w:r>
      <w:r w:rsidR="0077295D">
        <w:rPr>
          <w:rFonts w:ascii="Times New Roman" w:eastAsiaTheme="minorEastAsia" w:hAnsi="Times New Roman" w:cs="Times New Roman" w:hint="eastAsia"/>
        </w:rPr>
        <w:t>ere</w:t>
      </w:r>
      <w:r>
        <w:rPr>
          <w:rFonts w:ascii="Times New Roman" w:eastAsiaTheme="minorEastAsia" w:hAnsi="Times New Roman" w:cs="Times New Roman" w:hint="eastAsia"/>
        </w:rPr>
        <w:t xml:space="preserve"> </w:t>
      </w:r>
      <w:r>
        <w:rPr>
          <w:rFonts w:ascii="Times New Roman" w:eastAsiaTheme="minorEastAsia" w:hAnsi="Times New Roman" w:cs="Times New Roman"/>
        </w:rPr>
        <w:t>excluded</w:t>
      </w:r>
      <w:r w:rsidRPr="00B2101F">
        <w:rPr>
          <w:rFonts w:ascii="Times New Roman" w:hAnsi="Times New Roman" w:cs="Times New Roman"/>
        </w:rPr>
        <w:t xml:space="preserve"> from the original model—the proportion of cement clinker and the ratio of cement consumption to production. This adjustment helps to reduce the uncertainty associated with these variables.</w:t>
      </w:r>
      <w:r>
        <w:rPr>
          <w:rFonts w:ascii="Times New Roman" w:eastAsiaTheme="minorEastAsia" w:hAnsi="Times New Roman" w:cs="Times New Roman" w:hint="eastAsia"/>
        </w:rPr>
        <w:t xml:space="preserve"> </w:t>
      </w:r>
      <w:r w:rsidR="0077295D" w:rsidRPr="0077295D">
        <w:rPr>
          <w:rFonts w:ascii="Times New Roman" w:eastAsiaTheme="minorEastAsia" w:hAnsi="Times New Roman" w:cs="Times New Roman"/>
        </w:rPr>
        <w:t xml:space="preserve">This point is </w:t>
      </w:r>
      <w:r w:rsidR="0077295D">
        <w:rPr>
          <w:rFonts w:ascii="Times New Roman" w:eastAsiaTheme="minorEastAsia" w:hAnsi="Times New Roman" w:cs="Times New Roman" w:hint="eastAsia"/>
        </w:rPr>
        <w:t>mentioned</w:t>
      </w:r>
      <w:r w:rsidR="0077295D" w:rsidRPr="0077295D">
        <w:rPr>
          <w:rFonts w:ascii="Times New Roman" w:eastAsiaTheme="minorEastAsia" w:hAnsi="Times New Roman" w:cs="Times New Roman"/>
        </w:rPr>
        <w:t xml:space="preserve"> in the newly added section on uncertainty analysis.</w:t>
      </w:r>
    </w:p>
    <w:p w14:paraId="523F30DE" w14:textId="142918FF" w:rsidR="00852A17" w:rsidRPr="00852A17" w:rsidRDefault="00852A17" w:rsidP="00852A17">
      <w:pPr>
        <w:spacing w:before="100" w:beforeAutospacing="1" w:after="100" w:afterAutospacing="1"/>
        <w:ind w:left="720"/>
        <w:rPr>
          <w:rFonts w:ascii="Times New Roman" w:hAnsi="Times New Roman" w:cs="Times New Roman"/>
        </w:rPr>
      </w:pPr>
      <w:r>
        <w:rPr>
          <w:rFonts w:ascii="Times New Roman" w:hAnsi="Times New Roman" w:hint="eastAsia"/>
          <w:b/>
          <w:bCs/>
          <w:i/>
          <w:iCs/>
          <w:color w:val="FF0000"/>
        </w:rPr>
        <w:t>Changes:</w:t>
      </w:r>
      <w:r w:rsidRPr="00852A17">
        <w:rPr>
          <w:rFonts w:ascii="Times New Roman" w:hAnsi="Times New Roman" w:cs="Times New Roman"/>
          <w:b/>
          <w:bCs/>
          <w:i/>
          <w:iCs/>
          <w:color w:val="FF0000"/>
        </w:rPr>
        <w:t xml:space="preserve"> </w:t>
      </w:r>
      <w:r w:rsidRPr="00852A17">
        <w:rPr>
          <w:rFonts w:ascii="Times New Roman" w:hAnsi="Times New Roman" w:cs="Times New Roman"/>
        </w:rPr>
        <w:t xml:space="preserve">We have added the description to </w:t>
      </w:r>
      <w:r>
        <w:rPr>
          <w:rFonts w:ascii="Times New Roman" w:hAnsi="Times New Roman" w:cs="Times New Roman" w:hint="eastAsia"/>
        </w:rPr>
        <w:t xml:space="preserve">section 3.1 </w:t>
      </w:r>
      <w:r w:rsidRPr="00852A17">
        <w:rPr>
          <w:rFonts w:ascii="Times New Roman" w:hAnsi="Times New Roman" w:cs="Times New Roman"/>
        </w:rPr>
        <w:t>of the revised draft. “The results show that global cement carbon uptake in 2022 is 0.82 Gt CO</w:t>
      </w:r>
      <w:r w:rsidRPr="00852A17">
        <w:rPr>
          <w:rFonts w:ascii="Times New Roman" w:hAnsi="Times New Roman" w:cs="Times New Roman"/>
          <w:vertAlign w:val="subscript"/>
        </w:rPr>
        <w:t>2</w:t>
      </w:r>
      <w:r w:rsidRPr="00852A17">
        <w:rPr>
          <w:rFonts w:ascii="Times New Roman" w:hAnsi="Times New Roman" w:cs="Times New Roman"/>
        </w:rPr>
        <w:t xml:space="preserve"> (95 % CI: 0.69-0.98 Gt CO</w:t>
      </w:r>
      <w:r w:rsidRPr="00852A17">
        <w:rPr>
          <w:rFonts w:ascii="Times New Roman" w:hAnsi="Times New Roman" w:cs="Times New Roman"/>
          <w:vertAlign w:val="subscript"/>
        </w:rPr>
        <w:t>2</w:t>
      </w:r>
      <w:r w:rsidRPr="00852A17">
        <w:rPr>
          <w:rFonts w:ascii="Times New Roman" w:eastAsiaTheme="minorEastAsia" w:hAnsi="Times New Roman" w:cs="Times New Roman"/>
          <w:vertAlign w:val="subscript"/>
        </w:rPr>
        <w:t xml:space="preserve"> </w:t>
      </w:r>
      <w:r w:rsidRPr="00852A17">
        <w:rPr>
          <w:rFonts w:ascii="Times New Roman" w:hAnsi="Times New Roman" w:cs="Times New Roman"/>
        </w:rPr>
        <w:t>yr</w:t>
      </w:r>
      <w:r w:rsidRPr="00852A17">
        <w:rPr>
          <w:rFonts w:ascii="Times New Roman" w:hAnsi="Times New Roman" w:cs="Times New Roman"/>
          <w:vertAlign w:val="superscript"/>
        </w:rPr>
        <w:t>-1</w:t>
      </w:r>
      <w:r w:rsidRPr="00852A17">
        <w:rPr>
          <w:rFonts w:ascii="Times New Roman" w:hAnsi="Times New Roman" w:cs="Times New Roman"/>
        </w:rPr>
        <w:t>), a decrease of 1.1</w:t>
      </w:r>
      <w:r w:rsidRPr="00852A17">
        <w:rPr>
          <w:rFonts w:ascii="Times New Roman" w:eastAsiaTheme="minorEastAsia" w:hAnsi="Times New Roman" w:cs="Times New Roman"/>
        </w:rPr>
        <w:t xml:space="preserve"> </w:t>
      </w:r>
      <w:r w:rsidRPr="00852A17">
        <w:rPr>
          <w:rFonts w:ascii="Times New Roman" w:hAnsi="Times New Roman" w:cs="Times New Roman"/>
        </w:rPr>
        <w:t>% from 2021. It mainly attributable to the decline in both global cement production and apparent cement consumption in 2022, which decrease by 5.6</w:t>
      </w:r>
      <w:r w:rsidRPr="00852A17">
        <w:rPr>
          <w:rFonts w:ascii="Times New Roman" w:eastAsiaTheme="minorEastAsia" w:hAnsi="Times New Roman" w:cs="Times New Roman"/>
        </w:rPr>
        <w:t xml:space="preserve"> </w:t>
      </w:r>
      <w:r w:rsidRPr="00852A17">
        <w:rPr>
          <w:rFonts w:ascii="Times New Roman" w:hAnsi="Times New Roman" w:cs="Times New Roman"/>
        </w:rPr>
        <w:t>% and 6.2</w:t>
      </w:r>
      <w:r w:rsidRPr="00852A17">
        <w:rPr>
          <w:rFonts w:ascii="Times New Roman" w:eastAsiaTheme="minorEastAsia" w:hAnsi="Times New Roman" w:cs="Times New Roman"/>
        </w:rPr>
        <w:t xml:space="preserve"> </w:t>
      </w:r>
      <w:r w:rsidRPr="00852A17">
        <w:rPr>
          <w:rFonts w:ascii="Times New Roman" w:hAnsi="Times New Roman" w:cs="Times New Roman"/>
        </w:rPr>
        <w:t>% from 2021, respectively. In particular, as the largest cement producer, China's cement production and apparent consumption decreased by 11.1%. In 2023, global cement carbon uptake shows a 2.8</w:t>
      </w:r>
      <w:r w:rsidRPr="00852A17">
        <w:rPr>
          <w:rFonts w:ascii="Times New Roman" w:eastAsiaTheme="minorEastAsia" w:hAnsi="Times New Roman" w:cs="Times New Roman"/>
        </w:rPr>
        <w:t xml:space="preserve"> </w:t>
      </w:r>
      <w:r w:rsidRPr="00852A17">
        <w:rPr>
          <w:rFonts w:ascii="Times New Roman" w:hAnsi="Times New Roman" w:cs="Times New Roman"/>
        </w:rPr>
        <w:t>% increase from 2022, in which the global cement production declined by 1.4 %, but the apparent consumption of cement clinker increased by 2.0 %. This suggests a strong correlation between cement carbon uptake and cement consumption. A modest recovery in global cement consumption is anticipated for 2024, primarily driven by rapidly growing markets in South-East Asia and Africa</w:t>
      </w:r>
      <w:r w:rsidRPr="00852A17">
        <w:rPr>
          <w:rFonts w:ascii="Times New Roman" w:eastAsiaTheme="minorEastAsia" w:hAnsi="Times New Roman" w:cs="Times New Roman"/>
        </w:rPr>
        <w:t xml:space="preserve"> </w:t>
      </w:r>
      <w:bookmarkStart w:id="10" w:name="_Hlk184063204"/>
      <w:r w:rsidRPr="00852A17">
        <w:rPr>
          <w:rFonts w:ascii="Times New Roman" w:eastAsiaTheme="minorEastAsia" w:hAnsi="Times New Roman" w:cs="Times New Roman"/>
        </w:rPr>
        <w:fldChar w:fldCharType="begin"/>
      </w:r>
      <w:r w:rsidRPr="00852A17">
        <w:rPr>
          <w:rFonts w:ascii="Times New Roman" w:eastAsiaTheme="minorEastAsia" w:hAnsi="Times New Roman" w:cs="Times New Roman"/>
        </w:rPr>
        <w:instrText xml:space="preserve"> ADDIN ZOTERO_ITEM CSL_CITATION {"citationID":"KfEYBDP9","properties":{"formattedCitation":"(Cheng et al., 2023)","plainCitation":"(Cheng et al., 2023)","noteIndex":0},"citationItems":[{"id":3043,"uris":["http://zotero.org/users/10011104/items/A48C4927"],"itemData":{"id":3043,"type":"article-journal","abstract":"Achieving low-carbon development of the cement industry in the developing countries is fundamental to global emissions abatement, considering the local construction industry’s rapid growth. However, there is currently a lack of systematic and accurate accounting and projection of cement emissions in developing countries, which are characterized with lower basic economic country condition. Here, we provide bottom-up quantifications of emissions from global cement production and reveal a regional shift in the main contributors to global cement CO2 emissions. The study further explores cement emissions over 2020-2050 that correspond to different housing and infrastructure conditions and emissions mitigation options for all developing countries except China. We find that cement emissions in developing countries except China will reach 1.4-3.8 Gt in 2050 (depending on different industrialization trajectories), compared to their annual emissions of 0.7 Gt in 2018. The optimal combination of low-carbon measures could contribute to reducing annual emissions by around 65% in 2050 and cumulative emissions by around 48% over 2020-2050. The efficient technological paths towards a low carbon future of cement industry vary among the countries and infrastructure scenarios. Our results are essential to understanding future emissions patterns of the cement industry in the developing countries and can inform policies in the cement sector that contribute to meeting the climate targets set out in the Paris Agreement.","call-number":"1","container-title":"Nature Communications","DOI":"10.1038/s41467-023-43660-x","ISSN":"2041-1723","issue":"1","journalAbbreviation":"Nat Commun","language":"en","license":"2023 The Author(s)","note":"publisher: Nature Publishing Group","page":"8213","source":"16.6","title":"Projecting future carbon emissions from cement production in developing countries","volume":"14","author":[{"family":"Cheng","given":"Danyang"},{"family":"Reiner","given":"David M."},{"family":"Yang","given":"Fan"},{"family":"Cui","given":"Can"},{"family":"Meng","given":"Jing"},{"family":"Shan","given":"Yuli"},{"family":"Liu","given":"Yunhui"},{"family":"Tao","given":"Shu"},{"family":"Guan","given":"Dabo"}],"issued":{"date-parts":[["2023",12,11]]}}}],"schema":"https://github.com/citation-style-language/schema/raw/master/csl-citation.json"} </w:instrText>
      </w:r>
      <w:r w:rsidRPr="00852A17">
        <w:rPr>
          <w:rFonts w:ascii="Times New Roman" w:eastAsiaTheme="minorEastAsia" w:hAnsi="Times New Roman" w:cs="Times New Roman"/>
        </w:rPr>
        <w:fldChar w:fldCharType="separate"/>
      </w:r>
      <w:r w:rsidRPr="00852A17">
        <w:rPr>
          <w:rFonts w:ascii="Times New Roman" w:eastAsiaTheme="minorEastAsia" w:hAnsi="Times New Roman" w:cs="Times New Roman"/>
        </w:rPr>
        <w:t>(Cheng et al., 2023)</w:t>
      </w:r>
      <w:r w:rsidRPr="00852A17">
        <w:rPr>
          <w:rFonts w:ascii="Times New Roman" w:eastAsiaTheme="minorEastAsia" w:hAnsi="Times New Roman" w:cs="Times New Roman"/>
        </w:rPr>
        <w:fldChar w:fldCharType="end"/>
      </w:r>
      <w:bookmarkEnd w:id="10"/>
      <w:r w:rsidRPr="00852A17">
        <w:rPr>
          <w:rFonts w:ascii="Times New Roman" w:hAnsi="Times New Roman" w:cs="Times New Roman"/>
        </w:rPr>
        <w:t>. This recovery is expected to correspond with a continuation of growth in the global cement carbon uptake, which is forecasted to reach 0.86 Gt CO</w:t>
      </w:r>
      <w:r w:rsidRPr="00852A17">
        <w:rPr>
          <w:rFonts w:ascii="Times New Roman" w:hAnsi="Times New Roman" w:cs="Times New Roman"/>
          <w:vertAlign w:val="subscript"/>
        </w:rPr>
        <w:t>2</w:t>
      </w:r>
      <w:r w:rsidRPr="00852A17">
        <w:rPr>
          <w:rFonts w:ascii="Times New Roman" w:hAnsi="Times New Roman" w:cs="Times New Roman"/>
        </w:rPr>
        <w:t xml:space="preserve"> (95 % CI: 0.73-10.23 Gt CO</w:t>
      </w:r>
      <w:r w:rsidRPr="00852A17">
        <w:rPr>
          <w:rFonts w:ascii="Times New Roman" w:hAnsi="Times New Roman" w:cs="Times New Roman"/>
          <w:vertAlign w:val="subscript"/>
        </w:rPr>
        <w:t>2</w:t>
      </w:r>
      <w:r w:rsidRPr="00852A17">
        <w:rPr>
          <w:rFonts w:ascii="Times New Roman" w:hAnsi="Times New Roman" w:cs="Times New Roman"/>
        </w:rPr>
        <w:t xml:space="preserve"> yr</w:t>
      </w:r>
      <w:r w:rsidRPr="00852A17">
        <w:rPr>
          <w:rFonts w:ascii="Times New Roman" w:hAnsi="Times New Roman" w:cs="Times New Roman"/>
          <w:vertAlign w:val="superscript"/>
        </w:rPr>
        <w:t>-1</w:t>
      </w:r>
      <w:r w:rsidRPr="00852A17">
        <w:rPr>
          <w:rFonts w:ascii="Times New Roman" w:hAnsi="Times New Roman" w:cs="Times New Roman"/>
        </w:rPr>
        <w:t>), marking an increase of 2.0% from the 2023 levels.”</w:t>
      </w:r>
    </w:p>
    <w:p w14:paraId="749D596D" w14:textId="77777777" w:rsidR="006E4C52" w:rsidRPr="007616B8" w:rsidRDefault="006E4C52" w:rsidP="00852A17">
      <w:pPr>
        <w:numPr>
          <w:ilvl w:val="0"/>
          <w:numId w:val="1"/>
        </w:numPr>
        <w:spacing w:before="100" w:beforeAutospacing="1" w:after="100" w:afterAutospacing="1"/>
        <w:rPr>
          <w:rFonts w:ascii="Times New Roman" w:hAnsi="Times New Roman"/>
        </w:rPr>
      </w:pPr>
      <w:r w:rsidRPr="007616B8">
        <w:rPr>
          <w:rFonts w:ascii="Times New Roman" w:hAnsi="Times New Roman"/>
          <w:b/>
          <w:bCs/>
        </w:rPr>
        <w:lastRenderedPageBreak/>
        <w:t>Uncertainty and Future Directions</w:t>
      </w:r>
    </w:p>
    <w:p w14:paraId="537CB178" w14:textId="77777777" w:rsidR="006E4C52" w:rsidRDefault="006E4C52" w:rsidP="00852A17">
      <w:pPr>
        <w:spacing w:before="100" w:beforeAutospacing="1" w:after="100" w:afterAutospacing="1"/>
        <w:ind w:left="720"/>
        <w:rPr>
          <w:rFonts w:ascii="Times New Roman" w:hAnsi="Times New Roman"/>
        </w:rPr>
      </w:pPr>
      <w:r w:rsidRPr="006E4C52">
        <w:rPr>
          <w:rFonts w:ascii="Times New Roman" w:hAnsi="Times New Roman"/>
        </w:rPr>
        <w:t>Adding a dedicated section or paragraph to discuss data uncertainty and propose potential research directions would enhance the manuscript.</w:t>
      </w:r>
    </w:p>
    <w:p w14:paraId="4E27B6BE" w14:textId="6E222311" w:rsidR="00DE1F81" w:rsidRDefault="0077295D" w:rsidP="00852A17">
      <w:pPr>
        <w:spacing w:before="100" w:beforeAutospacing="1" w:after="100" w:afterAutospacing="1"/>
        <w:ind w:left="720"/>
        <w:rPr>
          <w:rFonts w:ascii="Times New Roman" w:eastAsiaTheme="minorEastAsia" w:hAnsi="Times New Roman"/>
        </w:rPr>
      </w:pPr>
      <w:r w:rsidRPr="00C1215B">
        <w:rPr>
          <w:rFonts w:ascii="Times New Roman" w:hAnsi="Times New Roman" w:hint="eastAsia"/>
          <w:b/>
          <w:bCs/>
          <w:i/>
          <w:iCs/>
          <w:color w:val="FF0000"/>
        </w:rPr>
        <w:t>Response:</w:t>
      </w:r>
      <w:r>
        <w:rPr>
          <w:rFonts w:ascii="Times New Roman" w:eastAsiaTheme="minorEastAsia" w:hAnsi="Times New Roman" w:hint="eastAsia"/>
        </w:rPr>
        <w:t xml:space="preserve"> Thanks very much for your opinion. </w:t>
      </w:r>
      <w:r w:rsidRPr="0077295D">
        <w:rPr>
          <w:rFonts w:ascii="Times New Roman" w:eastAsiaTheme="minorEastAsia" w:hAnsi="Times New Roman"/>
        </w:rPr>
        <w:t>The accounting results in this study are based on 10,000</w:t>
      </w:r>
      <w:bookmarkStart w:id="11" w:name="OLE_LINK4"/>
      <w:r w:rsidRPr="0077295D">
        <w:rPr>
          <w:rFonts w:ascii="Times New Roman" w:eastAsiaTheme="minorEastAsia" w:hAnsi="Times New Roman"/>
        </w:rPr>
        <w:t xml:space="preserve"> Monte Carlo</w:t>
      </w:r>
      <w:bookmarkEnd w:id="11"/>
      <w:r w:rsidRPr="0077295D">
        <w:rPr>
          <w:rFonts w:ascii="Times New Roman" w:eastAsiaTheme="minorEastAsia" w:hAnsi="Times New Roman"/>
        </w:rPr>
        <w:t xml:space="preserve"> simulations, providing 95% confidence intervals for cement carbon absorption estimates across various materials, individual countries, and on a global scale</w:t>
      </w:r>
      <w:r>
        <w:rPr>
          <w:rFonts w:ascii="Times New Roman" w:eastAsiaTheme="minorEastAsia" w:hAnsi="Times New Roman" w:hint="eastAsia"/>
        </w:rPr>
        <w:t xml:space="preserve"> (see Supplementary table 4)</w:t>
      </w:r>
      <w:r w:rsidRPr="0077295D">
        <w:rPr>
          <w:rFonts w:ascii="Times New Roman" w:eastAsiaTheme="minorEastAsia" w:hAnsi="Times New Roman"/>
        </w:rPr>
        <w:t xml:space="preserve">. </w:t>
      </w:r>
      <w:r>
        <w:rPr>
          <w:rFonts w:ascii="Times New Roman" w:eastAsiaTheme="minorEastAsia" w:hAnsi="Times New Roman" w:hint="eastAsia"/>
        </w:rPr>
        <w:t>According to</w:t>
      </w:r>
      <w:r w:rsidRPr="0077295D">
        <w:rPr>
          <w:rFonts w:ascii="Times New Roman" w:eastAsiaTheme="minorEastAsia" w:hAnsi="Times New Roman"/>
        </w:rPr>
        <w:t xml:space="preserve"> your suggestion, we conducted sensitivity analyses on the model parameters to clarify the impact of each parameter, offering valuable references for improving the accuracy of future accounting results.</w:t>
      </w:r>
    </w:p>
    <w:p w14:paraId="6DC65802" w14:textId="57DAE9E8" w:rsidR="00315FFD" w:rsidRDefault="00315FFD" w:rsidP="00EA6482">
      <w:pPr>
        <w:spacing w:before="100" w:beforeAutospacing="1" w:after="100" w:afterAutospacing="1"/>
        <w:ind w:left="720"/>
        <w:rPr>
          <w:rFonts w:ascii="Times New Roman" w:eastAsiaTheme="minorEastAsia" w:hAnsi="Times New Roman"/>
        </w:rPr>
      </w:pPr>
      <w:r>
        <w:rPr>
          <w:rFonts w:ascii="Times New Roman" w:eastAsiaTheme="minorEastAsia" w:hAnsi="Times New Roman" w:hint="eastAsia"/>
          <w:b/>
          <w:bCs/>
          <w:i/>
          <w:iCs/>
          <w:color w:val="FF0000"/>
        </w:rPr>
        <w:t>Changes</w:t>
      </w:r>
      <w:r w:rsidRPr="00C1215B">
        <w:rPr>
          <w:rFonts w:ascii="Times New Roman" w:hAnsi="Times New Roman" w:hint="eastAsia"/>
          <w:b/>
          <w:bCs/>
          <w:i/>
          <w:iCs/>
          <w:color w:val="FF0000"/>
        </w:rPr>
        <w:t>:</w:t>
      </w:r>
      <w:r>
        <w:rPr>
          <w:rFonts w:ascii="Times New Roman" w:eastAsiaTheme="minorEastAsia" w:hAnsi="Times New Roman" w:hint="eastAsia"/>
          <w:color w:val="FF0000"/>
        </w:rPr>
        <w:t xml:space="preserve"> </w:t>
      </w:r>
      <w:r>
        <w:rPr>
          <w:rFonts w:ascii="Times New Roman" w:eastAsiaTheme="minorEastAsia" w:hAnsi="Times New Roman" w:hint="eastAsia"/>
        </w:rPr>
        <w:t xml:space="preserve"> We have added</w:t>
      </w:r>
      <w:r w:rsidRPr="006E4C52">
        <w:rPr>
          <w:rFonts w:ascii="Times New Roman" w:hAnsi="Times New Roman"/>
        </w:rPr>
        <w:t xml:space="preserve"> section </w:t>
      </w:r>
      <w:r>
        <w:rPr>
          <w:rFonts w:ascii="Times New Roman" w:eastAsiaTheme="minorEastAsia" w:hAnsi="Times New Roman" w:hint="eastAsia"/>
        </w:rPr>
        <w:t xml:space="preserve">3.4 </w:t>
      </w:r>
      <w:r>
        <w:rPr>
          <w:rFonts w:ascii="Times New Roman" w:eastAsiaTheme="minorEastAsia" w:hAnsi="Times New Roman"/>
        </w:rPr>
        <w:t>“</w:t>
      </w:r>
      <w:r>
        <w:rPr>
          <w:rFonts w:ascii="Times New Roman" w:eastAsiaTheme="minorEastAsia" w:hAnsi="Times New Roman" w:hint="eastAsia"/>
        </w:rPr>
        <w:t>Uncertainty Analysis</w:t>
      </w:r>
      <w:r>
        <w:rPr>
          <w:rFonts w:ascii="Times New Roman" w:eastAsiaTheme="minorEastAsia" w:hAnsi="Times New Roman"/>
        </w:rPr>
        <w:t>”</w:t>
      </w:r>
      <w:r>
        <w:rPr>
          <w:rFonts w:ascii="Times New Roman" w:eastAsiaTheme="minorEastAsia" w:hAnsi="Times New Roman" w:hint="eastAsia"/>
        </w:rPr>
        <w:t xml:space="preserve"> </w:t>
      </w:r>
      <w:r w:rsidRPr="006E4C52">
        <w:rPr>
          <w:rFonts w:ascii="Times New Roman" w:hAnsi="Times New Roman"/>
        </w:rPr>
        <w:t>to discuss data uncertainty</w:t>
      </w:r>
      <w:r>
        <w:rPr>
          <w:rFonts w:ascii="Times New Roman" w:eastAsiaTheme="minorEastAsia" w:hAnsi="Times New Roman" w:hint="eastAsia"/>
        </w:rPr>
        <w:t xml:space="preserve">: </w:t>
      </w:r>
      <w:r>
        <w:rPr>
          <w:rFonts w:ascii="Times New Roman" w:eastAsiaTheme="minorEastAsia" w:hAnsi="Times New Roman"/>
        </w:rPr>
        <w:t>“</w:t>
      </w:r>
      <w:r w:rsidR="00EA6482" w:rsidRPr="00EA6482">
        <w:rPr>
          <w:rFonts w:ascii="Times New Roman" w:eastAsiaTheme="minorEastAsia" w:hAnsi="Times New Roman"/>
        </w:rPr>
        <w:t xml:space="preserve">This study uses Monte Carlo method to simulate carbon uptake from the cement for 100,000 times to evaluate the uncertainty. </w:t>
      </w:r>
      <w:r w:rsidR="00EA6482">
        <w:rPr>
          <w:rFonts w:ascii="Times New Roman" w:eastAsiaTheme="minorEastAsia" w:hAnsi="Times New Roman" w:hint="eastAsia"/>
        </w:rPr>
        <w:t>The results</w:t>
      </w:r>
      <w:r w:rsidR="00EA6482" w:rsidRPr="00EA6482">
        <w:rPr>
          <w:rFonts w:ascii="Times New Roman" w:eastAsiaTheme="minorEastAsia" w:hAnsi="Times New Roman"/>
        </w:rPr>
        <w:t xml:space="preserve"> reveal that the 95 % confidence interval for cumulative carbon uptake spanning from 1928 to 2024 ranges from 17.93 to 25.17Gt CO</w:t>
      </w:r>
      <w:r w:rsidR="00EA6482" w:rsidRPr="00A92303">
        <w:rPr>
          <w:rFonts w:ascii="Times New Roman" w:eastAsiaTheme="minorEastAsia" w:hAnsi="Times New Roman"/>
          <w:vertAlign w:val="subscript"/>
        </w:rPr>
        <w:t>2</w:t>
      </w:r>
      <w:r w:rsidR="00EA6482" w:rsidRPr="00EA6482">
        <w:rPr>
          <w:rFonts w:ascii="Times New Roman" w:eastAsiaTheme="minorEastAsia" w:hAnsi="Times New Roman"/>
        </w:rPr>
        <w:t>. The uncertainties associated with carbon sequestration from cement for each country are detailed in Supplementary Table 4. Our accounting is based on the accounting model of previous research (Huang et al., 2023), where the variable entries and sensitivity value are basically consistent with it (Fig 7). A key difference in our approach is that we have removed the two variables of “the proportion of clinker in cement” and “the ratio of cement consumption to production”, because we use a more accurate cement clinker consumption in this study. For specific parameters, “CaO content in clinker” (92.0%) has the greatest impact on the scale of carbon absorption, because it widely affects the carbon absorption in all stages of cement consumption; secondly, “the proportion of cement used for concrete/mortar” and “the proportion of CaO converted to CaCO</w:t>
      </w:r>
      <w:r w:rsidR="00EA6482" w:rsidRPr="00A92303">
        <w:rPr>
          <w:rFonts w:ascii="Times New Roman" w:eastAsiaTheme="minorEastAsia" w:hAnsi="Times New Roman"/>
          <w:vertAlign w:val="subscript"/>
        </w:rPr>
        <w:t>3</w:t>
      </w:r>
      <w:r w:rsidR="00EA6482" w:rsidRPr="00EA6482">
        <w:rPr>
          <w:rFonts w:ascii="Times New Roman" w:eastAsiaTheme="minorEastAsia" w:hAnsi="Times New Roman"/>
        </w:rPr>
        <w:t xml:space="preserve"> in concrete/mortar”, their sensitivity values are 66.4%, 27.5%, 67.09% and 28.72% respectively, due to these two parameters each affect the whole stage carbon absorption of concrete and mortar, and concrete and mortar account for the largest proportion of the total carbon absorption of cement materials. Other parameters have lower sensitivity values, mostly below 10%, because they only cause a slight impact on the local accounting results of the model. Therefore, it is essential to prioritize the more sensitive parameters and ensure their accurate collection and measurement across different countries to further minimize the uncertainty in the model's accounting results.</w:t>
      </w:r>
      <w:r w:rsidR="00EA6482">
        <w:rPr>
          <w:rFonts w:ascii="Times New Roman" w:eastAsiaTheme="minorEastAsia" w:hAnsi="Times New Roman"/>
        </w:rPr>
        <w:t>”</w:t>
      </w:r>
    </w:p>
    <w:p w14:paraId="25EE9776" w14:textId="4D356069" w:rsidR="00EA6482" w:rsidRDefault="00EA6482" w:rsidP="00EA6482">
      <w:pPr>
        <w:spacing w:before="100" w:beforeAutospacing="1" w:after="100" w:afterAutospacing="1"/>
        <w:ind w:left="720"/>
        <w:rPr>
          <w:rFonts w:ascii="Times New Roman" w:eastAsiaTheme="minorEastAsia" w:hAnsi="Times New Roman"/>
        </w:rPr>
      </w:pPr>
      <w:r w:rsidRPr="00B06D02">
        <w:rPr>
          <w:rFonts w:eastAsia="宋体"/>
          <w:noProof/>
        </w:rPr>
        <w:lastRenderedPageBreak/>
        <w:drawing>
          <wp:inline distT="0" distB="0" distL="0" distR="0" wp14:anchorId="13C06E1E" wp14:editId="63EB77DE">
            <wp:extent cx="3491336" cy="2862262"/>
            <wp:effectExtent l="0" t="0" r="0" b="0"/>
            <wp:docPr id="49901096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504432" cy="2872998"/>
                    </a:xfrm>
                    <a:prstGeom prst="rect">
                      <a:avLst/>
                    </a:prstGeom>
                    <a:noFill/>
                    <a:ln>
                      <a:noFill/>
                    </a:ln>
                  </pic:spPr>
                </pic:pic>
              </a:graphicData>
            </a:graphic>
          </wp:inline>
        </w:drawing>
      </w:r>
    </w:p>
    <w:p w14:paraId="6F7F99AE" w14:textId="4AFBF7D0" w:rsidR="00EA6482" w:rsidRPr="00EA6482" w:rsidRDefault="00EA6482" w:rsidP="00EA6482">
      <w:pPr>
        <w:spacing w:before="100" w:beforeAutospacing="1" w:after="100" w:afterAutospacing="1"/>
        <w:ind w:left="720"/>
        <w:rPr>
          <w:rFonts w:ascii="Times New Roman" w:eastAsiaTheme="minorEastAsia" w:hAnsi="Times New Roman"/>
        </w:rPr>
      </w:pPr>
      <w:r w:rsidRPr="00EA6482">
        <w:rPr>
          <w:rFonts w:ascii="Times New Roman" w:eastAsiaTheme="minorEastAsia" w:hAnsi="Times New Roman"/>
        </w:rPr>
        <w:t>Figure 7: Sensitivity analysis of cement carbon uptake.</w:t>
      </w:r>
    </w:p>
    <w:p w14:paraId="71B120A2" w14:textId="77777777" w:rsidR="006E4C52" w:rsidRPr="006E4C52" w:rsidRDefault="006E4C52" w:rsidP="00852A17">
      <w:pPr>
        <w:spacing w:before="100" w:beforeAutospacing="1" w:after="100" w:afterAutospacing="1"/>
        <w:rPr>
          <w:rFonts w:ascii="Times New Roman" w:hAnsi="Times New Roman"/>
        </w:rPr>
      </w:pPr>
      <w:r w:rsidRPr="006E4C52">
        <w:rPr>
          <w:rFonts w:ascii="Times New Roman" w:hAnsi="Times New Roman"/>
          <w:b/>
          <w:bCs/>
        </w:rPr>
        <w:t>Minor Comments</w:t>
      </w:r>
    </w:p>
    <w:p w14:paraId="333DD11A" w14:textId="77777777" w:rsidR="006E4C52" w:rsidRDefault="006E4C52" w:rsidP="00852A17">
      <w:pPr>
        <w:numPr>
          <w:ilvl w:val="0"/>
          <w:numId w:val="3"/>
        </w:numPr>
        <w:spacing w:before="100" w:beforeAutospacing="1" w:after="100" w:afterAutospacing="1"/>
        <w:rPr>
          <w:rFonts w:ascii="Times New Roman" w:hAnsi="Times New Roman"/>
        </w:rPr>
      </w:pPr>
      <w:r w:rsidRPr="006E4C52">
        <w:rPr>
          <w:rFonts w:ascii="Times New Roman" w:hAnsi="Times New Roman"/>
          <w:b/>
          <w:bCs/>
        </w:rPr>
        <w:t>Page 2, Line 48</w:t>
      </w:r>
      <w:r w:rsidRPr="006E4C52">
        <w:rPr>
          <w:rFonts w:ascii="Times New Roman" w:hAnsi="Times New Roman"/>
        </w:rPr>
        <w:t>: The manuscript refers to cement carbonation as a "permanent CO</w:t>
      </w:r>
      <w:r w:rsidRPr="006E4C52">
        <w:rPr>
          <w:rFonts w:ascii="Times New Roman" w:hAnsi="Times New Roman" w:cs="Times New Roman"/>
        </w:rPr>
        <w:t>₂</w:t>
      </w:r>
      <w:r w:rsidRPr="006E4C52">
        <w:rPr>
          <w:rFonts w:ascii="Times New Roman" w:hAnsi="Times New Roman"/>
        </w:rPr>
        <w:t xml:space="preserve"> uptake method." Given that the carbon uptake ability changes over time, why is it characterized as permanent?</w:t>
      </w:r>
    </w:p>
    <w:p w14:paraId="6C837D24" w14:textId="3C6F7075" w:rsidR="00666B3A" w:rsidRPr="00666B3A" w:rsidRDefault="00085F28" w:rsidP="00666B3A">
      <w:pPr>
        <w:ind w:leftChars="337" w:left="708"/>
        <w:rPr>
          <w:rFonts w:ascii="Times New Roman" w:hAnsi="Times New Roman"/>
        </w:rPr>
      </w:pPr>
      <w:r w:rsidRPr="00C1215B">
        <w:rPr>
          <w:rFonts w:ascii="Times New Roman" w:hAnsi="Times New Roman" w:hint="eastAsia"/>
          <w:b/>
          <w:bCs/>
          <w:i/>
          <w:iCs/>
          <w:color w:val="FF0000"/>
        </w:rPr>
        <w:t>Response:</w:t>
      </w:r>
      <w:r>
        <w:rPr>
          <w:rFonts w:ascii="Times New Roman" w:hAnsi="Times New Roman" w:hint="eastAsia"/>
          <w:b/>
          <w:bCs/>
          <w:i/>
          <w:iCs/>
          <w:color w:val="FF0000"/>
        </w:rPr>
        <w:t xml:space="preserve"> </w:t>
      </w:r>
      <w:r>
        <w:rPr>
          <w:rFonts w:ascii="Times New Roman" w:hAnsi="Times New Roman" w:hint="eastAsia"/>
        </w:rPr>
        <w:t xml:space="preserve">Thank you for your </w:t>
      </w:r>
      <w:r w:rsidR="00242B4D">
        <w:rPr>
          <w:rFonts w:ascii="Times New Roman" w:hAnsi="Times New Roman" w:hint="eastAsia"/>
        </w:rPr>
        <w:t xml:space="preserve">valuable comment. </w:t>
      </w:r>
      <w:r w:rsidR="00666B3A" w:rsidRPr="00666B3A">
        <w:rPr>
          <w:rFonts w:ascii="Times New Roman" w:hAnsi="Times New Roman"/>
        </w:rPr>
        <w:t xml:space="preserve">The term </w:t>
      </w:r>
      <w:r w:rsidR="00666B3A">
        <w:rPr>
          <w:rFonts w:ascii="Times New Roman" w:eastAsiaTheme="minorEastAsia" w:hAnsi="Times New Roman"/>
        </w:rPr>
        <w:t>“</w:t>
      </w:r>
      <w:r w:rsidR="00666B3A" w:rsidRPr="00666B3A">
        <w:rPr>
          <w:rFonts w:ascii="Times New Roman" w:hAnsi="Times New Roman"/>
        </w:rPr>
        <w:t>permanent</w:t>
      </w:r>
      <w:r w:rsidR="00666B3A">
        <w:rPr>
          <w:rFonts w:ascii="Times New Roman" w:eastAsiaTheme="minorEastAsia" w:hAnsi="Times New Roman"/>
        </w:rPr>
        <w:t>”</w:t>
      </w:r>
      <w:r w:rsidR="00666B3A">
        <w:rPr>
          <w:rFonts w:ascii="Times New Roman" w:eastAsiaTheme="minorEastAsia" w:hAnsi="Times New Roman" w:hint="eastAsia"/>
        </w:rPr>
        <w:t xml:space="preserve"> in the manuscript</w:t>
      </w:r>
      <w:r w:rsidR="00666B3A" w:rsidRPr="00666B3A">
        <w:rPr>
          <w:rFonts w:ascii="Times New Roman" w:hAnsi="Times New Roman"/>
        </w:rPr>
        <w:t xml:space="preserve"> refers to the long-term sequestration of CO₂, meaning that once CO₂ is fixed in a substance or geological stratum through mineralization or geological sequestration, it remains stable over time and is not released back into the atmosphere.</w:t>
      </w:r>
    </w:p>
    <w:p w14:paraId="24544BFD" w14:textId="6C7EB3D1" w:rsidR="00666B3A" w:rsidRPr="00666B3A" w:rsidRDefault="00666B3A" w:rsidP="00852A17">
      <w:pPr>
        <w:spacing w:before="100" w:beforeAutospacing="1" w:after="100" w:afterAutospacing="1"/>
        <w:ind w:left="720"/>
        <w:rPr>
          <w:rFonts w:ascii="Times New Roman" w:eastAsiaTheme="minorEastAsia" w:hAnsi="Times New Roman"/>
        </w:rPr>
      </w:pPr>
      <w:r>
        <w:rPr>
          <w:rFonts w:ascii="Times New Roman" w:eastAsiaTheme="minorEastAsia" w:hAnsi="Times New Roman" w:hint="eastAsia"/>
          <w:b/>
          <w:bCs/>
          <w:i/>
          <w:iCs/>
          <w:color w:val="FF0000"/>
        </w:rPr>
        <w:t>Changes</w:t>
      </w:r>
      <w:r w:rsidRPr="00C1215B">
        <w:rPr>
          <w:rFonts w:ascii="Times New Roman" w:hAnsi="Times New Roman" w:hint="eastAsia"/>
          <w:b/>
          <w:bCs/>
          <w:i/>
          <w:iCs/>
          <w:color w:val="FF0000"/>
        </w:rPr>
        <w:t>:</w:t>
      </w:r>
      <w:r>
        <w:rPr>
          <w:rFonts w:ascii="Times New Roman" w:eastAsiaTheme="minorEastAsia" w:hAnsi="Times New Roman" w:hint="eastAsia"/>
          <w:b/>
          <w:bCs/>
          <w:i/>
          <w:iCs/>
          <w:color w:val="FF0000"/>
        </w:rPr>
        <w:t xml:space="preserve"> </w:t>
      </w:r>
      <w:r w:rsidRPr="00666B3A">
        <w:rPr>
          <w:rFonts w:ascii="Times New Roman" w:eastAsiaTheme="minorEastAsia" w:hAnsi="Times New Roman"/>
        </w:rPr>
        <w:t xml:space="preserve">We believe there </w:t>
      </w:r>
      <w:r>
        <w:rPr>
          <w:rFonts w:ascii="Times New Roman" w:eastAsiaTheme="minorEastAsia" w:hAnsi="Times New Roman" w:hint="eastAsia"/>
        </w:rPr>
        <w:t>may</w:t>
      </w:r>
      <w:r w:rsidRPr="00666B3A">
        <w:rPr>
          <w:rFonts w:ascii="Times New Roman" w:eastAsiaTheme="minorEastAsia" w:hAnsi="Times New Roman"/>
        </w:rPr>
        <w:t xml:space="preserve"> have been a misunderstanding. To clarify,</w:t>
      </w:r>
      <w:r>
        <w:rPr>
          <w:rFonts w:ascii="Times New Roman" w:eastAsiaTheme="minorEastAsia" w:hAnsi="Times New Roman" w:hint="eastAsia"/>
        </w:rPr>
        <w:t xml:space="preserve"> </w:t>
      </w:r>
      <w:r w:rsidRPr="00666B3A">
        <w:rPr>
          <w:rFonts w:ascii="Times New Roman" w:eastAsiaTheme="minorEastAsia" w:hAnsi="Times New Roman"/>
        </w:rPr>
        <w:t xml:space="preserve">we have replaced </w:t>
      </w:r>
      <w:r>
        <w:rPr>
          <w:rFonts w:ascii="Times New Roman" w:eastAsiaTheme="minorEastAsia" w:hAnsi="Times New Roman" w:hint="eastAsia"/>
        </w:rPr>
        <w:t xml:space="preserve">the term </w:t>
      </w:r>
      <w:r>
        <w:rPr>
          <w:rFonts w:ascii="Times New Roman" w:eastAsiaTheme="minorEastAsia" w:hAnsi="Times New Roman"/>
        </w:rPr>
        <w:t>“</w:t>
      </w:r>
      <w:r>
        <w:rPr>
          <w:rFonts w:ascii="Times New Roman" w:eastAsiaTheme="minorEastAsia" w:hAnsi="Times New Roman" w:hint="eastAsia"/>
        </w:rPr>
        <w:t>p</w:t>
      </w:r>
      <w:r w:rsidRPr="00666B3A">
        <w:rPr>
          <w:rFonts w:ascii="Times New Roman" w:eastAsiaTheme="minorEastAsia" w:hAnsi="Times New Roman"/>
        </w:rPr>
        <w:t>ermanent</w:t>
      </w:r>
      <w:r>
        <w:rPr>
          <w:rFonts w:ascii="Times New Roman" w:eastAsiaTheme="minorEastAsia" w:hAnsi="Times New Roman"/>
        </w:rPr>
        <w:t>”</w:t>
      </w:r>
      <w:r w:rsidRPr="00666B3A">
        <w:rPr>
          <w:rFonts w:ascii="Times New Roman" w:eastAsiaTheme="minorEastAsia" w:hAnsi="Times New Roman"/>
        </w:rPr>
        <w:t xml:space="preserve"> with </w:t>
      </w:r>
      <w:r>
        <w:rPr>
          <w:rFonts w:ascii="Times New Roman" w:eastAsiaTheme="minorEastAsia" w:hAnsi="Times New Roman"/>
        </w:rPr>
        <w:t>“</w:t>
      </w:r>
      <w:r w:rsidRPr="00666B3A">
        <w:rPr>
          <w:rFonts w:ascii="Times New Roman" w:eastAsiaTheme="minorEastAsia" w:hAnsi="Times New Roman"/>
        </w:rPr>
        <w:t>long-term sequestration</w:t>
      </w:r>
      <w:r>
        <w:rPr>
          <w:rFonts w:ascii="Times New Roman" w:eastAsiaTheme="minorEastAsia" w:hAnsi="Times New Roman"/>
        </w:rPr>
        <w:t>”</w:t>
      </w:r>
      <w:r w:rsidRPr="00666B3A">
        <w:rPr>
          <w:rFonts w:ascii="Times New Roman" w:eastAsiaTheme="minorEastAsia" w:hAnsi="Times New Roman"/>
        </w:rPr>
        <w:t>.</w:t>
      </w:r>
    </w:p>
    <w:p w14:paraId="658B9BCC" w14:textId="77777777" w:rsidR="006E4C52" w:rsidRDefault="006E4C52" w:rsidP="00852A17">
      <w:pPr>
        <w:numPr>
          <w:ilvl w:val="0"/>
          <w:numId w:val="3"/>
        </w:numPr>
        <w:spacing w:before="100" w:beforeAutospacing="1" w:after="100" w:afterAutospacing="1"/>
        <w:rPr>
          <w:rFonts w:ascii="Times New Roman" w:hAnsi="Times New Roman"/>
        </w:rPr>
      </w:pPr>
      <w:r w:rsidRPr="006E4C52">
        <w:rPr>
          <w:rFonts w:ascii="Times New Roman" w:hAnsi="Times New Roman"/>
          <w:b/>
          <w:bCs/>
        </w:rPr>
        <w:t>Page 2, Line 55</w:t>
      </w:r>
      <w:r w:rsidRPr="006E4C52">
        <w:rPr>
          <w:rFonts w:ascii="Times New Roman" w:hAnsi="Times New Roman"/>
        </w:rPr>
        <w:t>: This report suggests a nearly 50% uptake from cement carbonation, which differs significantly from the 10% uptake reported by PCA. Could the authors explain this discrepancy?</w:t>
      </w:r>
    </w:p>
    <w:p w14:paraId="114A0778" w14:textId="77777777" w:rsidR="003603B6" w:rsidRPr="003603B6" w:rsidRDefault="00666B3A" w:rsidP="003603B6">
      <w:pPr>
        <w:ind w:leftChars="337" w:left="708"/>
        <w:rPr>
          <w:rFonts w:ascii="Times New Roman" w:eastAsiaTheme="minorEastAsia" w:hAnsi="Times New Roman"/>
        </w:rPr>
      </w:pPr>
      <w:r w:rsidRPr="00C1215B">
        <w:rPr>
          <w:rFonts w:ascii="Times New Roman" w:hAnsi="Times New Roman" w:hint="eastAsia"/>
          <w:b/>
          <w:bCs/>
          <w:i/>
          <w:iCs/>
          <w:color w:val="FF0000"/>
        </w:rPr>
        <w:t>Response:</w:t>
      </w:r>
      <w:r w:rsidRPr="00B330E5">
        <w:rPr>
          <w:rFonts w:ascii="Times New Roman" w:eastAsiaTheme="minorEastAsia" w:hAnsi="Times New Roman" w:hint="eastAsia"/>
        </w:rPr>
        <w:t xml:space="preserve"> </w:t>
      </w:r>
      <w:r w:rsidR="00B330E5" w:rsidRPr="00B330E5">
        <w:rPr>
          <w:rFonts w:ascii="Times New Roman" w:eastAsiaTheme="minorEastAsia" w:hAnsi="Times New Roman" w:hint="eastAsia"/>
        </w:rPr>
        <w:t xml:space="preserve">Thanks very </w:t>
      </w:r>
      <w:r w:rsidR="00B330E5" w:rsidRPr="00B330E5">
        <w:rPr>
          <w:rFonts w:ascii="Times New Roman" w:eastAsiaTheme="minorEastAsia" w:hAnsi="Times New Roman"/>
        </w:rPr>
        <w:t>for your careful review</w:t>
      </w:r>
      <w:r w:rsidR="00B330E5">
        <w:rPr>
          <w:rFonts w:ascii="Times New Roman" w:eastAsiaTheme="minorEastAsia" w:hAnsi="Times New Roman" w:hint="eastAsia"/>
        </w:rPr>
        <w:t xml:space="preserve">. </w:t>
      </w:r>
      <w:r w:rsidR="00B703FE" w:rsidRPr="00B703FE">
        <w:rPr>
          <w:rFonts w:ascii="Times New Roman" w:eastAsiaTheme="minorEastAsia" w:hAnsi="Times New Roman"/>
        </w:rPr>
        <w:t xml:space="preserve">The significantly larger of cement </w:t>
      </w:r>
      <w:r w:rsidR="00B703FE">
        <w:rPr>
          <w:rFonts w:ascii="Times New Roman" w:eastAsiaTheme="minorEastAsia" w:hAnsi="Times New Roman" w:hint="eastAsia"/>
        </w:rPr>
        <w:t>CO</w:t>
      </w:r>
      <w:r w:rsidR="00B703FE" w:rsidRPr="003603B6">
        <w:rPr>
          <w:rFonts w:ascii="Times New Roman" w:eastAsiaTheme="minorEastAsia" w:hAnsi="Times New Roman" w:hint="eastAsia"/>
          <w:vertAlign w:val="subscript"/>
        </w:rPr>
        <w:t>2</w:t>
      </w:r>
      <w:r w:rsidR="00B703FE" w:rsidRPr="00B703FE">
        <w:rPr>
          <w:rFonts w:ascii="Times New Roman" w:eastAsiaTheme="minorEastAsia" w:hAnsi="Times New Roman"/>
        </w:rPr>
        <w:t xml:space="preserve"> </w:t>
      </w:r>
      <w:r w:rsidR="00B703FE">
        <w:rPr>
          <w:rFonts w:ascii="Times New Roman" w:eastAsiaTheme="minorEastAsia" w:hAnsi="Times New Roman" w:hint="eastAsia"/>
        </w:rPr>
        <w:t>uptake</w:t>
      </w:r>
      <w:r w:rsidR="00B703FE" w:rsidRPr="00B703FE">
        <w:rPr>
          <w:rFonts w:ascii="Times New Roman" w:eastAsiaTheme="minorEastAsia" w:hAnsi="Times New Roman"/>
        </w:rPr>
        <w:t xml:space="preserve"> offsets level in this study (</w:t>
      </w:r>
      <w:r w:rsidR="00B703FE">
        <w:rPr>
          <w:rFonts w:ascii="Times New Roman" w:eastAsiaTheme="minorEastAsia" w:hAnsi="Times New Roman" w:hint="eastAsia"/>
        </w:rPr>
        <w:t>46</w:t>
      </w:r>
      <w:r w:rsidR="00B703FE" w:rsidRPr="00B703FE">
        <w:rPr>
          <w:rFonts w:ascii="Times New Roman" w:eastAsiaTheme="minorEastAsia" w:hAnsi="Times New Roman"/>
        </w:rPr>
        <w:t xml:space="preserve">%) compared to the </w:t>
      </w:r>
      <w:r w:rsidR="003603B6">
        <w:rPr>
          <w:rFonts w:ascii="Times New Roman" w:eastAsiaTheme="minorEastAsia" w:hAnsi="Times New Roman" w:hint="eastAsia"/>
        </w:rPr>
        <w:t xml:space="preserve">value (10%) in </w:t>
      </w:r>
      <w:r w:rsidR="003603B6" w:rsidRPr="003603B6">
        <w:rPr>
          <w:rFonts w:ascii="Times New Roman" w:eastAsiaTheme="minorEastAsia" w:hAnsi="Times New Roman"/>
        </w:rPr>
        <w:t>Portland Cement Association</w:t>
      </w:r>
      <w:r w:rsidR="003603B6">
        <w:rPr>
          <w:rFonts w:ascii="Times New Roman" w:eastAsiaTheme="minorEastAsia" w:hAnsi="Times New Roman" w:hint="eastAsia"/>
        </w:rPr>
        <w:t xml:space="preserve"> (PCA)</w:t>
      </w:r>
      <w:r w:rsidR="003603B6" w:rsidRPr="003603B6">
        <w:rPr>
          <w:rFonts w:ascii="Times New Roman" w:eastAsiaTheme="minorEastAsia" w:hAnsi="Times New Roman"/>
        </w:rPr>
        <w:t xml:space="preserve"> of the United States</w:t>
      </w:r>
      <w:r w:rsidR="003603B6">
        <w:rPr>
          <w:rFonts w:ascii="Times New Roman" w:eastAsiaTheme="minorEastAsia" w:hAnsi="Times New Roman" w:hint="eastAsia"/>
        </w:rPr>
        <w:t xml:space="preserve"> </w:t>
      </w:r>
      <w:r w:rsidR="003603B6" w:rsidRPr="003603B6">
        <w:rPr>
          <w:rFonts w:ascii="Times New Roman" w:eastAsiaTheme="minorEastAsia" w:hAnsi="Times New Roman"/>
        </w:rPr>
        <w:t>can be attributed to the difference in accounting scope.</w:t>
      </w:r>
      <w:r w:rsidR="003603B6">
        <w:rPr>
          <w:rFonts w:ascii="Times New Roman" w:eastAsiaTheme="minorEastAsia" w:hAnsi="Times New Roman" w:hint="eastAsia"/>
        </w:rPr>
        <w:t xml:space="preserve"> </w:t>
      </w:r>
      <w:r w:rsidR="003603B6" w:rsidRPr="003603B6">
        <w:rPr>
          <w:rFonts w:ascii="Times New Roman" w:eastAsiaTheme="minorEastAsia" w:hAnsi="Times New Roman"/>
        </w:rPr>
        <w:t>While the PCA report only includes the carbon sequestration of concrete, our analysis covers a broader range of cement materials, including four types: concrete, mortar, construction waste materials, and cement kiln dust (CKD).</w:t>
      </w:r>
      <w:r w:rsidR="003603B6">
        <w:rPr>
          <w:rFonts w:ascii="Times New Roman" w:eastAsiaTheme="minorEastAsia" w:hAnsi="Times New Roman" w:hint="eastAsia"/>
        </w:rPr>
        <w:t xml:space="preserve"> </w:t>
      </w:r>
      <w:r w:rsidR="003603B6" w:rsidRPr="003603B6">
        <w:rPr>
          <w:rFonts w:ascii="Times New Roman" w:eastAsiaTheme="minorEastAsia" w:hAnsi="Times New Roman"/>
        </w:rPr>
        <w:t xml:space="preserve">In our </w:t>
      </w:r>
      <w:r w:rsidR="003603B6">
        <w:rPr>
          <w:rFonts w:ascii="Times New Roman" w:eastAsiaTheme="minorEastAsia" w:hAnsi="Times New Roman" w:hint="eastAsia"/>
        </w:rPr>
        <w:t>result</w:t>
      </w:r>
      <w:r w:rsidR="003603B6" w:rsidRPr="003603B6">
        <w:rPr>
          <w:rFonts w:ascii="Times New Roman" w:eastAsiaTheme="minorEastAsia" w:hAnsi="Times New Roman"/>
        </w:rPr>
        <w:t>, the global carbon uptake from concrete materials accounts for approximately 15.4% of the total emissions from cement production (averaged over the past 100 years),</w:t>
      </w:r>
      <w:r w:rsidR="003603B6">
        <w:rPr>
          <w:rFonts w:ascii="Times New Roman" w:eastAsiaTheme="minorEastAsia" w:hAnsi="Times New Roman" w:hint="eastAsia"/>
        </w:rPr>
        <w:t xml:space="preserve"> </w:t>
      </w:r>
      <w:r w:rsidR="003603B6" w:rsidRPr="003603B6">
        <w:rPr>
          <w:rFonts w:ascii="Times New Roman" w:eastAsiaTheme="minorEastAsia" w:hAnsi="Times New Roman"/>
        </w:rPr>
        <w:t>which aligns with the findings in the PCA report.</w:t>
      </w:r>
      <w:r w:rsidR="003603B6">
        <w:rPr>
          <w:rFonts w:ascii="Times New Roman" w:eastAsiaTheme="minorEastAsia" w:hAnsi="Times New Roman" w:hint="eastAsia"/>
        </w:rPr>
        <w:t xml:space="preserve"> </w:t>
      </w:r>
      <w:r w:rsidR="003603B6" w:rsidRPr="003603B6">
        <w:rPr>
          <w:rFonts w:ascii="Times New Roman" w:eastAsiaTheme="minorEastAsia" w:hAnsi="Times New Roman"/>
        </w:rPr>
        <w:t xml:space="preserve">Notably, mortar emerges as the largest contributor to carbon </w:t>
      </w:r>
      <w:r w:rsidR="003603B6" w:rsidRPr="003603B6">
        <w:rPr>
          <w:rFonts w:ascii="Times New Roman" w:eastAsiaTheme="minorEastAsia" w:hAnsi="Times New Roman"/>
        </w:rPr>
        <w:lastRenderedPageBreak/>
        <w:t>sequestration, accounting for 48% of the total. However, due to limited data and model constraints, few studies have focused on mortar, representing an area for future optimization of our model, as discussed in the Outlook section of the manuscript.</w:t>
      </w:r>
    </w:p>
    <w:p w14:paraId="4B4315F0" w14:textId="6E260F05" w:rsidR="00B703FE" w:rsidRPr="003603B6" w:rsidRDefault="003603B6" w:rsidP="00B330E5">
      <w:pPr>
        <w:spacing w:before="100" w:beforeAutospacing="1" w:after="100" w:afterAutospacing="1"/>
        <w:ind w:left="720"/>
        <w:rPr>
          <w:rFonts w:ascii="Times New Roman" w:eastAsiaTheme="minorEastAsia" w:hAnsi="Times New Roman"/>
        </w:rPr>
      </w:pPr>
      <w:r>
        <w:rPr>
          <w:rFonts w:ascii="Times New Roman" w:eastAsiaTheme="minorEastAsia" w:hAnsi="Times New Roman" w:hint="eastAsia"/>
          <w:b/>
          <w:bCs/>
          <w:i/>
          <w:iCs/>
          <w:color w:val="FF0000"/>
        </w:rPr>
        <w:t>Changes</w:t>
      </w:r>
      <w:r w:rsidRPr="00C1215B">
        <w:rPr>
          <w:rFonts w:ascii="Times New Roman" w:hAnsi="Times New Roman" w:hint="eastAsia"/>
          <w:b/>
          <w:bCs/>
          <w:i/>
          <w:iCs/>
          <w:color w:val="FF0000"/>
        </w:rPr>
        <w:t>:</w:t>
      </w:r>
      <w:r>
        <w:rPr>
          <w:rFonts w:ascii="Times New Roman" w:eastAsiaTheme="minorEastAsia" w:hAnsi="Times New Roman" w:hint="eastAsia"/>
        </w:rPr>
        <w:t xml:space="preserve"> </w:t>
      </w:r>
      <w:r w:rsidRPr="003603B6">
        <w:rPr>
          <w:rFonts w:ascii="Times New Roman" w:eastAsiaTheme="minorEastAsia" w:hAnsi="Times New Roman"/>
        </w:rPr>
        <w:t xml:space="preserve">We have emphasized in the </w:t>
      </w:r>
      <w:r>
        <w:rPr>
          <w:rFonts w:ascii="Times New Roman" w:eastAsiaTheme="minorEastAsia" w:hAnsi="Times New Roman" w:hint="eastAsia"/>
        </w:rPr>
        <w:t>manuscript</w:t>
      </w:r>
      <w:r w:rsidRPr="003603B6">
        <w:rPr>
          <w:rFonts w:ascii="Times New Roman" w:eastAsiaTheme="minorEastAsia" w:hAnsi="Times New Roman"/>
        </w:rPr>
        <w:t xml:space="preserve"> where we introduced the PCA report that he was referring only to concrete materials</w:t>
      </w:r>
      <w:r>
        <w:rPr>
          <w:rFonts w:ascii="Times New Roman" w:eastAsiaTheme="minorEastAsia" w:hAnsi="Times New Roman" w:hint="eastAsia"/>
        </w:rPr>
        <w:t xml:space="preserve">: </w:t>
      </w:r>
      <w:r>
        <w:rPr>
          <w:rFonts w:ascii="Times New Roman" w:eastAsiaTheme="minorEastAsia" w:hAnsi="Times New Roman"/>
        </w:rPr>
        <w:t>“…</w:t>
      </w:r>
      <w:r>
        <w:rPr>
          <w:rFonts w:ascii="Times New Roman" w:eastAsiaTheme="minorEastAsia" w:hAnsi="Times New Roman" w:hint="eastAsia"/>
        </w:rPr>
        <w:t>,</w:t>
      </w:r>
      <w:r w:rsidRPr="003603B6">
        <w:t xml:space="preserve"> </w:t>
      </w:r>
      <w:r w:rsidRPr="003603B6">
        <w:rPr>
          <w:rFonts w:ascii="Times New Roman" w:eastAsiaTheme="minorEastAsia" w:hAnsi="Times New Roman"/>
        </w:rPr>
        <w:t>highlights that concrete buildings can reabsorb up to 10% of the CO2 emitted during the cement and concrete production process</w:t>
      </w:r>
      <w:r>
        <w:rPr>
          <w:rFonts w:ascii="Times New Roman" w:eastAsiaTheme="minorEastAsia" w:hAnsi="Times New Roman"/>
        </w:rPr>
        <w:t>”</w:t>
      </w:r>
      <w:r>
        <w:rPr>
          <w:rFonts w:ascii="Times New Roman" w:eastAsiaTheme="minorEastAsia" w:hAnsi="Times New Roman" w:hint="eastAsia"/>
        </w:rPr>
        <w:t>.</w:t>
      </w:r>
    </w:p>
    <w:p w14:paraId="37E4DAA5" w14:textId="77777777" w:rsidR="006E4C52" w:rsidRPr="00F44AEB" w:rsidRDefault="006E4C52" w:rsidP="00852A17">
      <w:pPr>
        <w:numPr>
          <w:ilvl w:val="0"/>
          <w:numId w:val="3"/>
        </w:numPr>
        <w:spacing w:before="100" w:beforeAutospacing="1" w:after="100" w:afterAutospacing="1"/>
        <w:rPr>
          <w:rFonts w:ascii="Times New Roman" w:hAnsi="Times New Roman"/>
        </w:rPr>
      </w:pPr>
      <w:r w:rsidRPr="006E4C52">
        <w:rPr>
          <w:rFonts w:ascii="Times New Roman" w:hAnsi="Times New Roman"/>
          <w:b/>
          <w:bCs/>
        </w:rPr>
        <w:t>Page 3, Line 79</w:t>
      </w:r>
      <w:r w:rsidRPr="006E4C52">
        <w:rPr>
          <w:rFonts w:ascii="Times New Roman" w:hAnsi="Times New Roman"/>
        </w:rPr>
        <w:t>: Citing the previous three updates of the Global Cement Carbon Uptake Database in this section would help readers better understand the evolution of the dataset.</w:t>
      </w:r>
    </w:p>
    <w:p w14:paraId="33B6D2DB" w14:textId="782090AF" w:rsidR="00F44AEB" w:rsidRDefault="00F44AEB" w:rsidP="00F44AEB">
      <w:pPr>
        <w:spacing w:before="100" w:beforeAutospacing="1" w:after="100" w:afterAutospacing="1"/>
        <w:ind w:left="720"/>
        <w:rPr>
          <w:rFonts w:ascii="Times New Roman" w:eastAsiaTheme="minorEastAsia" w:hAnsi="Times New Roman" w:cs="Times New Roman"/>
        </w:rPr>
      </w:pPr>
      <w:r w:rsidRPr="00C1215B">
        <w:rPr>
          <w:rFonts w:ascii="Times New Roman" w:hAnsi="Times New Roman" w:hint="eastAsia"/>
          <w:b/>
          <w:bCs/>
          <w:i/>
          <w:iCs/>
          <w:color w:val="FF0000"/>
        </w:rPr>
        <w:t>Response:</w:t>
      </w:r>
      <w:r w:rsidRPr="00B330E5">
        <w:rPr>
          <w:rFonts w:ascii="Times New Roman" w:eastAsiaTheme="minorEastAsia" w:hAnsi="Times New Roman" w:hint="eastAsia"/>
        </w:rPr>
        <w:t xml:space="preserve"> Thanks very </w:t>
      </w:r>
      <w:r w:rsidRPr="00B330E5">
        <w:rPr>
          <w:rFonts w:ascii="Times New Roman" w:eastAsiaTheme="minorEastAsia" w:hAnsi="Times New Roman"/>
        </w:rPr>
        <w:t>for your careful review</w:t>
      </w:r>
      <w:r>
        <w:rPr>
          <w:rFonts w:ascii="Times New Roman" w:eastAsiaTheme="minorEastAsia" w:hAnsi="Times New Roman" w:hint="eastAsia"/>
        </w:rPr>
        <w:t xml:space="preserve">. </w:t>
      </w:r>
      <w:r>
        <w:rPr>
          <w:rFonts w:ascii="Times New Roman" w:eastAsiaTheme="minorEastAsia" w:hAnsi="Times New Roman"/>
        </w:rPr>
        <w:t>T</w:t>
      </w:r>
      <w:r>
        <w:rPr>
          <w:rFonts w:ascii="Times New Roman" w:eastAsiaTheme="minorEastAsia" w:hAnsi="Times New Roman" w:hint="eastAsia"/>
        </w:rPr>
        <w:t xml:space="preserve">he </w:t>
      </w:r>
      <w:r w:rsidRPr="006E4C52">
        <w:rPr>
          <w:rFonts w:ascii="Times New Roman" w:hAnsi="Times New Roman"/>
        </w:rPr>
        <w:t>previous three</w:t>
      </w:r>
      <w:r>
        <w:rPr>
          <w:rFonts w:ascii="Times New Roman" w:eastAsiaTheme="minorEastAsia" w:hAnsi="Times New Roman" w:hint="eastAsia"/>
        </w:rPr>
        <w:t xml:space="preserve"> database are</w:t>
      </w:r>
      <w:r w:rsidRPr="00F44AEB">
        <w:rPr>
          <w:rFonts w:ascii="Times New Roman" w:eastAsiaTheme="minorEastAsia" w:hAnsi="Times New Roman" w:cs="Times New Roman"/>
        </w:rPr>
        <w:t xml:space="preserve"> </w:t>
      </w:r>
      <w:r w:rsidRPr="00F44AEB">
        <w:rPr>
          <w:rFonts w:ascii="Times New Roman" w:eastAsiaTheme="minorEastAsia" w:hAnsi="Times New Roman" w:cs="Times New Roman"/>
        </w:rPr>
        <w:fldChar w:fldCharType="begin"/>
      </w:r>
      <w:r w:rsidR="001A03C9">
        <w:rPr>
          <w:rFonts w:ascii="Times New Roman" w:eastAsiaTheme="minorEastAsia" w:hAnsi="Times New Roman" w:cs="Times New Roman"/>
        </w:rPr>
        <w:instrText xml:space="preserve"> ADDIN ZOTERO_ITEM CSL_CITATION {"citationID":"egquFNrm","properties":{"unsorted":true,"formattedCitation":"(Xi et al., 2016; Guo et al., 2021; Huang et al., 2023)","plainCitation":"(Xi et al., 2016; Guo et al., 2021; Huang et al., 2023)","dontUpdate":true,"noteIndex":0},"citationItems":[{"id":2304,"uris":["http://zotero.org/users/10011104/items/Y5UEED99"],"itemData":{"id":2304,"type":"article-journal","abstract":"Cement production is a source of CO2. Analysis of carbonation, a process that sequesters CO2 during the lifetime of cement, suggests that between 1930 and 2013, it has offset 43% of CO2 emissions from cement production globally.","call-number":"1","container-title":"Nature Geoscience","DOI":"10.1038/ngeo2840","ISSN":"1752-0908","issue":"12","journalAbbreviation":"Nature Geosci","language":"en","license":"2016 Springer Nature Limited","note":"publisher: Nature Publishing Group","page":"880-883","source":"18.3","title":"Substantial global carbon uptake by cement carbonation","volume":"9","author":[{"family":"Xi","given":"Fengming"},{"family":"Davis","given":"Steven J."},{"family":"Ciais","given":"Philippe"},{"family":"Crawford-Brown","given":"Douglas"},{"family":"Guan","given":"Dabo"},{"family":"Pade","given":"Claus"},{"family":"Shi","given":"Tiemao"},{"family":"Syddall","given":"Mark"},{"family":"Lv","given":"Jie"},{"family":"Ji","given":"Lanzhu"},{"family":"Bing","given":"Longfei"},{"family":"Wang","given":"Jiaoyue"},{"family":"Wei","given":"Wei"},{"family":"Yang","given":"Keun-Hyeok"},{"family":"Lagerblad","given":"Björn"},{"family":"Galan","given":"Isabel"},{"family":"Andrade","given":"Carmen"},{"family":"Zhang","given":"Ying"},{"family":"Liu","given":"Zhu"}],"issued":{"date-parts":[["2016",12]]}},"label":"page"},{"id":2587,"uris":["http://zotero.org/users/10011104/items/2Z52T3PG"],"itemData":{"id":2587,"type":"article-journal","abstract":"Because of the alkaline nature and high calcium content of cements in general, they serve as a CO2-absorbing agent through carbonation processes, resembling silicate weathering in nature. This carbon uptake capacity of cements could abate some of the CO2 emitted during their production. Given the scale of cement production worldwide (4.10 Gt in 2019), a life-cycle assessment is necessary to determine the actual net carbon impacts of this industry. We adopted a comprehensive analytical model to estimate the amount of CO2 that had been absorbed from 1930 to 2019 in four types of cement materials, including concrete, mortar, construction waste, and cement kiln dust (CKD). In addition, the process CO2 emission during the same period based on the same datasets was also estimated. The results show that 21.02 Gt CO2 (95 % confidence interval, CI: 18.01–24.41 Gt CO2) had been absorbed in the cements produced from 1930 to 2019, with the 2019 annual figure mounting up to 0.89 Gt CO2 yr−1 (95 % CI: 0.76–1.06 Gt CO2). The cumulative uptake is equivalent to approximately 55 % of the process emission based on our estimation. In particular, China's dominant position in cement production or consumption in recent decades also gives rise to its uptake being the greatest, with a cumulative sink of 6.21 Gt CO2 (95 % CI: 4.59–8.32 Gt CO2) since 1930. Among the four types of cement materials, mortar is estimated to be the greatest contributor (approximately 59 %) to the total uptake. Potentially, our cement emission and uptake estimation system can be updated annually and modified when necessary for future low-carbon transitions in the cement industry. All the data described in this study, including the Monte Carlo uncertainty analysis results, are accessible at https://doi.org/10.5281/zenodo.4459729 (Wang et al., 2021).","call-number":"1","container-title":"Earth System Science Data","DOI":"10.5194/essd-13-1791-2021","ISSN":"1866-3508","issue":"4","language":"en-US","note":"publisher: Copernicus GmbH","page":"1791-1805","source":"11.4","title":"Global CO&lt;sub&gt;2&lt;/sub&gt; uptake by cement from 1930 to 2019","volume":"13","author":[{"family":"Guo","given":"Rui"},{"family":"Wang","given":"Jiaoyue"},{"family":"Bing","given":"Longfei"},{"family":"Tong","given":"Dan"},{"family":"Ciais","given":"Philippe"},{"family":"Davis","given":"Steven J."},{"family":"Andrew","given":"Robbie M."},{"family":"Xi","given":"Fengming"},{"family":"Liu","given":"Zhu"}],"issued":{"date-parts":[["2021",4,30]]}},"label":"page"},{"id":2589,"uris":["http://zotero.org/users/10011104/items/92W43XB7"],"itemData":{"id":2589,"type":"article-journal","abstract":"The main contributor to the greenhouse gas (GHG) footprint of the cement industry is the decomposition of alkaline carbonates during clinker production. However, systematic accounts for the reverse of this process – namely carbonation of calcium oxide and other alkaline oxides and/or hydroxides within cement materials during cements' life cycles – have only recently been undertaken. Here, adopting a comprehensive analytical model, we provide the most updated estimates of CO2 uptake by cement carbonation. The accumulated amount of global CO2 uptake by cements produced from 1930 to 2021 is estimated to be 22.9 Gt CO2 (95 % confidence interval, CI: 19.6–26.6 Gt CO2). This amount includes the CO2 uptake by concrete, mortar, construction waste and kiln dust, accounting for 30.1 %, 58.5 %, 4.0 % and 7.1 % respectively. The cumulative carbon uptake by cement materials from 1930 to 2021 offsets 55.1 % of the emissions from cement production (41.6 Gt CO2, 95 % CI: 38.7–47.2 Gt CO2) over the same period, with the greater part coming from mortar (58.5 % of the total uptake). China has the highest cement carbon uptake, with cumulative carbonation of 7.06 Gt CO2 (95 % CI: 5.22–9.44 Gt CO2) since 1930. In addition, the carbon uptake amounts of the USA, EU, India and the rest of the world took 5.0 %, 23.2 %, 5.6 % and 34.8 % separately. As a result of rapidly increased production in recent years, over three-quarters of the cement carbon uptake has occurred since 1990. Additionally, our results show little impact by the COVID-19 pandemic on cement production and use, with carbon uptake reaching about 0.92 Gt CO2 (95 % CI: 0.78–1.10 Gt CO2) in 2020 and 0.96 Gt CO2 (95 % CI: 0.81–1.15 Gt CO2) in 2021. Our uniformly formatted and most updated cement uptake inventories provide coherent data-based support for including cement carbon uptake into future carbon budgets from the local to global scale. The latest version contains the uptake data till 2021, showing the global uptake's increasing pattern and offering more usable and relevant data for evaluating cement's carbon uptake capacity. All the data described in this study are accessible at https://doi.org/10.5281/zenodo.7516373 (Bing et al., 2023).","call-number":"1","container-title":"Earth System Science Data","DOI":"10.5194/essd-15-4947-2023","ISSN":"1866-3508","issue":"11","language":"en-US","note":"publisher: Copernicus GmbH","page":"4947-4958","source":"11.4","title":"Global carbon uptake of cement carbonation accounts 1930–2021","volume":"15","author":[{"family":"Huang","given":"Zi"},{"family":"Wang","given":"Jiaoyue"},{"family":"Bing","given":"Longfei"},{"family":"Qiu","given":"Yijiao"},{"family":"Guo","given":"Rui"},{"family":"Yu","given":"Ying"},{"family":"Ma","given":"Mingjing"},{"family":"Niu","given":"Le"},{"family":"Tong","given":"Dan"},{"family":"Andrew","given":"Robbie M."},{"family":"Friedlingstein","given":"Pierre"},{"family":"Canadell","given":"Josep G."},{"family":"Xi","given":"Fengming"},{"family":"Liu","given":"Zhu"}],"issued":{"date-parts":[["2023",11,7]]}},"label":"page"}],"schema":"https://github.com/citation-style-language/schema/raw/master/csl-citation.json"} </w:instrText>
      </w:r>
      <w:r w:rsidRPr="00F44AEB">
        <w:rPr>
          <w:rFonts w:ascii="Times New Roman" w:eastAsiaTheme="minorEastAsia" w:hAnsi="Times New Roman" w:cs="Times New Roman"/>
        </w:rPr>
        <w:fldChar w:fldCharType="separate"/>
      </w:r>
      <w:r w:rsidRPr="00F44AEB">
        <w:rPr>
          <w:rFonts w:ascii="Times New Roman" w:eastAsiaTheme="minorEastAsia" w:hAnsi="Times New Roman" w:cs="Times New Roman"/>
        </w:rPr>
        <w:t>Xi et al., 2016; Guo et al., 2021; Huang et al., 2023</w:t>
      </w:r>
      <w:r w:rsidRPr="00F44AEB">
        <w:rPr>
          <w:rFonts w:ascii="Times New Roman" w:eastAsiaTheme="minorEastAsia" w:hAnsi="Times New Roman" w:cs="Times New Roman"/>
        </w:rPr>
        <w:fldChar w:fldCharType="end"/>
      </w:r>
      <w:r>
        <w:rPr>
          <w:rFonts w:ascii="Times New Roman" w:eastAsiaTheme="minorEastAsia" w:hAnsi="Times New Roman" w:cs="Times New Roman" w:hint="eastAsia"/>
        </w:rPr>
        <w:t xml:space="preserve">, respectively. </w:t>
      </w:r>
      <w:r w:rsidRPr="00F44AEB">
        <w:rPr>
          <w:rFonts w:ascii="Times New Roman" w:eastAsiaTheme="minorEastAsia" w:hAnsi="Times New Roman" w:cs="Times New Roman"/>
        </w:rPr>
        <w:t xml:space="preserve">We have </w:t>
      </w:r>
      <w:r>
        <w:rPr>
          <w:rFonts w:ascii="Times New Roman" w:eastAsiaTheme="minorEastAsia" w:hAnsi="Times New Roman" w:cs="Times New Roman" w:hint="eastAsia"/>
        </w:rPr>
        <w:t>cited</w:t>
      </w:r>
      <w:r w:rsidRPr="00F44AEB">
        <w:rPr>
          <w:rFonts w:ascii="Times New Roman" w:eastAsiaTheme="minorEastAsia" w:hAnsi="Times New Roman" w:cs="Times New Roman"/>
        </w:rPr>
        <w:t xml:space="preserve"> </w:t>
      </w:r>
      <w:r>
        <w:rPr>
          <w:rFonts w:ascii="Times New Roman" w:eastAsiaTheme="minorEastAsia" w:hAnsi="Times New Roman" w:cs="Times New Roman" w:hint="eastAsia"/>
        </w:rPr>
        <w:t>them</w:t>
      </w:r>
      <w:r w:rsidRPr="00F44AEB">
        <w:rPr>
          <w:rFonts w:ascii="Times New Roman" w:eastAsiaTheme="minorEastAsia" w:hAnsi="Times New Roman" w:cs="Times New Roman"/>
        </w:rPr>
        <w:t xml:space="preserve"> in the manuscript as you suggested</w:t>
      </w:r>
      <w:r>
        <w:rPr>
          <w:rFonts w:ascii="Times New Roman" w:eastAsiaTheme="minorEastAsia" w:hAnsi="Times New Roman" w:cs="Times New Roman" w:hint="eastAsia"/>
        </w:rPr>
        <w:t>.</w:t>
      </w:r>
    </w:p>
    <w:p w14:paraId="14FDAECB" w14:textId="0447FB11" w:rsidR="00F44AEB" w:rsidRPr="00F44AEB" w:rsidRDefault="00F44AEB" w:rsidP="00F44AEB">
      <w:pPr>
        <w:spacing w:before="100" w:beforeAutospacing="1" w:after="100" w:afterAutospacing="1"/>
        <w:ind w:left="720"/>
        <w:rPr>
          <w:rFonts w:ascii="Times New Roman" w:eastAsiaTheme="minorEastAsia" w:hAnsi="Times New Roman"/>
        </w:rPr>
      </w:pPr>
      <w:r>
        <w:rPr>
          <w:rFonts w:ascii="Times New Roman" w:eastAsiaTheme="minorEastAsia" w:hAnsi="Times New Roman" w:hint="eastAsia"/>
          <w:b/>
          <w:bCs/>
          <w:i/>
          <w:iCs/>
          <w:color w:val="FF0000"/>
        </w:rPr>
        <w:t>Changes</w:t>
      </w:r>
      <w:r w:rsidRPr="00C1215B">
        <w:rPr>
          <w:rFonts w:ascii="Times New Roman" w:hAnsi="Times New Roman" w:hint="eastAsia"/>
          <w:b/>
          <w:bCs/>
          <w:i/>
          <w:iCs/>
          <w:color w:val="FF0000"/>
        </w:rPr>
        <w:t>:</w:t>
      </w:r>
      <w:r>
        <w:rPr>
          <w:rFonts w:ascii="Times New Roman" w:eastAsiaTheme="minorEastAsia" w:hAnsi="Times New Roman" w:hint="eastAsia"/>
        </w:rPr>
        <w:t xml:space="preserve"> </w:t>
      </w:r>
      <w:r w:rsidRPr="003603B6">
        <w:rPr>
          <w:rFonts w:ascii="Times New Roman" w:eastAsiaTheme="minorEastAsia" w:hAnsi="Times New Roman"/>
        </w:rPr>
        <w:t xml:space="preserve">We have </w:t>
      </w:r>
      <w:r>
        <w:rPr>
          <w:rFonts w:ascii="Times New Roman" w:eastAsiaTheme="minorEastAsia" w:hAnsi="Times New Roman" w:hint="eastAsia"/>
        </w:rPr>
        <w:t xml:space="preserve">added the </w:t>
      </w:r>
      <w:r>
        <w:rPr>
          <w:rFonts w:ascii="Times New Roman" w:eastAsiaTheme="minorEastAsia" w:hAnsi="Times New Roman"/>
        </w:rPr>
        <w:t>citation</w:t>
      </w:r>
      <w:r>
        <w:rPr>
          <w:rFonts w:ascii="Times New Roman" w:eastAsiaTheme="minorEastAsia" w:hAnsi="Times New Roman" w:hint="eastAsia"/>
        </w:rPr>
        <w:t xml:space="preserve"> of the previous database</w:t>
      </w:r>
      <w:r w:rsidRPr="003603B6">
        <w:rPr>
          <w:rFonts w:ascii="Times New Roman" w:eastAsiaTheme="minorEastAsia" w:hAnsi="Times New Roman"/>
        </w:rPr>
        <w:t xml:space="preserve"> in the </w:t>
      </w:r>
      <w:r>
        <w:rPr>
          <w:rFonts w:ascii="Times New Roman" w:eastAsiaTheme="minorEastAsia" w:hAnsi="Times New Roman" w:hint="eastAsia"/>
        </w:rPr>
        <w:t>manuscript.</w:t>
      </w:r>
    </w:p>
    <w:p w14:paraId="61A4B73E" w14:textId="67333CF8" w:rsidR="006E4C52" w:rsidRDefault="006E4C52" w:rsidP="00852A17">
      <w:pPr>
        <w:numPr>
          <w:ilvl w:val="0"/>
          <w:numId w:val="3"/>
        </w:numPr>
        <w:spacing w:before="100" w:beforeAutospacing="1" w:after="100" w:afterAutospacing="1"/>
        <w:rPr>
          <w:rFonts w:ascii="Times New Roman" w:hAnsi="Times New Roman"/>
        </w:rPr>
      </w:pPr>
      <w:r w:rsidRPr="006E4C52">
        <w:rPr>
          <w:rFonts w:ascii="Times New Roman" w:hAnsi="Times New Roman"/>
          <w:b/>
          <w:bCs/>
        </w:rPr>
        <w:t>Figure 4 &amp; 5</w:t>
      </w:r>
      <w:r w:rsidRPr="006E4C52">
        <w:rPr>
          <w:rFonts w:ascii="Times New Roman" w:hAnsi="Times New Roman"/>
        </w:rPr>
        <w:t>: provide full spells of the countries in Appendix or supplement would be helpful. Any possibility to include the uncertainty range?</w:t>
      </w:r>
    </w:p>
    <w:p w14:paraId="02D4A132" w14:textId="21821CA2" w:rsidR="00A93BF2" w:rsidRDefault="008E5274" w:rsidP="00852A17">
      <w:pPr>
        <w:spacing w:before="100" w:beforeAutospacing="1" w:after="100" w:afterAutospacing="1"/>
        <w:ind w:left="720"/>
        <w:rPr>
          <w:rFonts w:ascii="Times New Roman" w:eastAsiaTheme="minorEastAsia" w:hAnsi="Times New Roman"/>
          <w:color w:val="000000" w:themeColor="text1"/>
        </w:rPr>
      </w:pPr>
      <w:r w:rsidRPr="00C1215B">
        <w:rPr>
          <w:rFonts w:ascii="Times New Roman" w:hAnsi="Times New Roman" w:hint="eastAsia"/>
          <w:b/>
          <w:bCs/>
          <w:i/>
          <w:iCs/>
          <w:color w:val="FF0000"/>
        </w:rPr>
        <w:t>Response:</w:t>
      </w:r>
      <w:r w:rsidR="00091394">
        <w:rPr>
          <w:rFonts w:ascii="Times New Roman" w:eastAsiaTheme="minorEastAsia" w:hAnsi="Times New Roman" w:hint="eastAsia"/>
          <w:b/>
          <w:bCs/>
          <w:i/>
          <w:iCs/>
          <w:color w:val="FF0000"/>
        </w:rPr>
        <w:t xml:space="preserve"> </w:t>
      </w:r>
      <w:r w:rsidR="00680F2A" w:rsidRPr="00680F2A">
        <w:rPr>
          <w:rFonts w:ascii="Times New Roman" w:eastAsiaTheme="minorEastAsia" w:hAnsi="Times New Roman"/>
          <w:color w:val="000000" w:themeColor="text1"/>
        </w:rPr>
        <w:t>Thank you very much for your suggestion, we have changed the abbreviation of the countr</w:t>
      </w:r>
      <w:r w:rsidR="00680F2A">
        <w:rPr>
          <w:rFonts w:ascii="Times New Roman" w:eastAsiaTheme="minorEastAsia" w:hAnsi="Times New Roman" w:hint="eastAsia"/>
          <w:color w:val="000000" w:themeColor="text1"/>
        </w:rPr>
        <w:t>ies</w:t>
      </w:r>
      <w:r w:rsidR="00680F2A" w:rsidRPr="00680F2A">
        <w:rPr>
          <w:rFonts w:ascii="Times New Roman" w:eastAsiaTheme="minorEastAsia" w:hAnsi="Times New Roman"/>
          <w:color w:val="000000" w:themeColor="text1"/>
        </w:rPr>
        <w:t xml:space="preserve"> name in the </w:t>
      </w:r>
      <w:r w:rsidR="00680F2A">
        <w:rPr>
          <w:rFonts w:ascii="Times New Roman" w:eastAsiaTheme="minorEastAsia" w:hAnsi="Times New Roman" w:hint="eastAsia"/>
          <w:color w:val="000000" w:themeColor="text1"/>
        </w:rPr>
        <w:t>Figure 4</w:t>
      </w:r>
      <w:r w:rsidR="00680F2A" w:rsidRPr="00680F2A">
        <w:rPr>
          <w:rFonts w:ascii="Times New Roman" w:eastAsiaTheme="minorEastAsia" w:hAnsi="Times New Roman"/>
          <w:color w:val="000000" w:themeColor="text1"/>
        </w:rPr>
        <w:t xml:space="preserve"> to the full spelling and increased the uncertainty of the carbon uptake, the detailed data can be found in the </w:t>
      </w:r>
      <w:r w:rsidR="00680F2A">
        <w:rPr>
          <w:rFonts w:ascii="Times New Roman" w:eastAsiaTheme="minorEastAsia" w:hAnsi="Times New Roman" w:hint="eastAsia"/>
          <w:color w:val="000000" w:themeColor="text1"/>
        </w:rPr>
        <w:t>Supplementary table 4</w:t>
      </w:r>
      <w:r w:rsidR="0075186B">
        <w:rPr>
          <w:rFonts w:ascii="Times New Roman" w:eastAsiaTheme="minorEastAsia" w:hAnsi="Times New Roman" w:hint="eastAsia"/>
          <w:color w:val="000000" w:themeColor="text1"/>
        </w:rPr>
        <w:t xml:space="preserve"> </w:t>
      </w:r>
      <w:r w:rsidR="0075186B">
        <w:rPr>
          <w:rFonts w:ascii="Times New Roman" w:hAnsi="Times New Roman" w:hint="eastAsia"/>
        </w:rPr>
        <w:t>(</w:t>
      </w:r>
      <w:r w:rsidR="0075186B" w:rsidRPr="006426AD">
        <w:rPr>
          <w:rFonts w:ascii="Times New Roman" w:eastAsia="宋体" w:hAnsi="Times New Roman" w:cs="Times New Roman"/>
        </w:rPr>
        <w:t xml:space="preserve">available from </w:t>
      </w:r>
      <w:hyperlink r:id="rId14" w:history="1">
        <w:r w:rsidR="0075186B" w:rsidRPr="006426AD">
          <w:rPr>
            <w:rStyle w:val="a8"/>
            <w:rFonts w:ascii="Times New Roman" w:eastAsia="宋体" w:hAnsi="Times New Roman" w:cs="Times New Roman"/>
            <w:color w:val="auto"/>
          </w:rPr>
          <w:t>https://doi.org/10.5281/zenodo.13827861</w:t>
        </w:r>
      </w:hyperlink>
      <w:r w:rsidR="0075186B" w:rsidRPr="006426AD">
        <w:rPr>
          <w:rFonts w:ascii="Times New Roman" w:eastAsia="宋体" w:hAnsi="Times New Roman" w:cs="Times New Roman"/>
        </w:rPr>
        <w:t xml:space="preserve"> </w:t>
      </w:r>
      <w:r w:rsidR="0075186B" w:rsidRPr="006426AD">
        <w:rPr>
          <w:rFonts w:ascii="Times New Roman" w:eastAsia="宋体" w:hAnsi="Times New Roman" w:cs="Times New Roman"/>
        </w:rPr>
        <w:fldChar w:fldCharType="begin"/>
      </w:r>
      <w:r w:rsidR="004F58CC">
        <w:rPr>
          <w:rFonts w:ascii="Times New Roman" w:eastAsia="宋体" w:hAnsi="Times New Roman" w:cs="Times New Roman"/>
        </w:rPr>
        <w:instrText xml:space="preserve"> ADDIN ZOTERO_ITEM CSL_CITATION {"citationID":"Jerb4V3T","properties":{"formattedCitation":"(Wu et al., 2024)","plainCitation":"(Wu et al., 2024)","dontUpdate":true,"noteIndex":0},"citationItems":[{"id":3338,"uris":["http://zotero.org/users/10011104/items/WEHY9K4Q"],"itemData":{"id":3338,"type":"dataset","abstract":"This dataset is associated with the publication on Earth System Science Data, with the same title.It includes five sections including the model inputs of the estimation models, the simulation results of global CO2 emission and uptake by year, the variables and ranges considered in the uncertainty analyses of the uptake estimation and the corresponding confidence intervals from the analyses. For detailed explanations of these datasets, one should should refer to the original manuscript.","DOI":"10.5281/zenodo.13827861","publisher":"Zenodo","source":"Zenodo","title":"Global and national CO2 uptake by cement carbonation from 1928 to 2024","URL":"https://zenodo.org/records/13827861","author":[{"family":"Wu","given":"Songbin"},{"family":"Niu","given":"Le"},{"family":"Wang","given":"Jiaoyue"},{"family":"Xi","given":"Fengming"}],"accessed":{"date-parts":[["2024",9,25]]},"issued":{"date-parts":[["2024",9,23]]}}}],"schema":"https://github.com/citation-style-language/schema/raw/master/csl-citation.json"} </w:instrText>
      </w:r>
      <w:r w:rsidR="0075186B" w:rsidRPr="006426AD">
        <w:rPr>
          <w:rFonts w:ascii="Times New Roman" w:eastAsia="宋体" w:hAnsi="Times New Roman" w:cs="Times New Roman"/>
        </w:rPr>
        <w:fldChar w:fldCharType="separate"/>
      </w:r>
      <w:r w:rsidR="0075186B" w:rsidRPr="006426AD">
        <w:rPr>
          <w:rFonts w:ascii="Times New Roman" w:eastAsia="宋体" w:hAnsi="Times New Roman" w:cs="Times New Roman"/>
        </w:rPr>
        <w:t>Wu et al., 2024)</w:t>
      </w:r>
      <w:r w:rsidR="0075186B" w:rsidRPr="006426AD">
        <w:rPr>
          <w:rFonts w:ascii="Times New Roman" w:eastAsia="宋体" w:hAnsi="Times New Roman" w:cs="Times New Roman"/>
        </w:rPr>
        <w:fldChar w:fldCharType="end"/>
      </w:r>
      <w:r w:rsidR="0075186B">
        <w:rPr>
          <w:rFonts w:ascii="Times New Roman" w:eastAsia="宋体" w:hAnsi="Times New Roman" w:cs="Times New Roman" w:hint="eastAsia"/>
        </w:rPr>
        <w:t>.</w:t>
      </w:r>
    </w:p>
    <w:p w14:paraId="23BE0293" w14:textId="2829C24B" w:rsidR="00680F2A" w:rsidRDefault="00680F2A" w:rsidP="00852A17">
      <w:pPr>
        <w:spacing w:before="100" w:beforeAutospacing="1" w:after="100" w:afterAutospacing="1"/>
        <w:ind w:left="720"/>
        <w:rPr>
          <w:rFonts w:ascii="Times New Roman" w:eastAsiaTheme="minorEastAsia" w:hAnsi="Times New Roman"/>
          <w:color w:val="000000" w:themeColor="text1"/>
        </w:rPr>
      </w:pPr>
      <w:r>
        <w:rPr>
          <w:rFonts w:ascii="Times New Roman" w:eastAsiaTheme="minorEastAsia" w:hAnsi="Times New Roman" w:hint="eastAsia"/>
          <w:b/>
          <w:bCs/>
          <w:i/>
          <w:iCs/>
          <w:color w:val="FF0000"/>
        </w:rPr>
        <w:t>Changes</w:t>
      </w:r>
      <w:r w:rsidRPr="00C1215B">
        <w:rPr>
          <w:rFonts w:ascii="Times New Roman" w:hAnsi="Times New Roman" w:hint="eastAsia"/>
          <w:b/>
          <w:bCs/>
          <w:i/>
          <w:iCs/>
          <w:color w:val="FF0000"/>
        </w:rPr>
        <w:t>:</w:t>
      </w:r>
      <w:r>
        <w:rPr>
          <w:rFonts w:ascii="Times New Roman" w:eastAsiaTheme="minorEastAsia" w:hAnsi="Times New Roman" w:hint="eastAsia"/>
          <w:color w:val="FF0000"/>
        </w:rPr>
        <w:t xml:space="preserve"> </w:t>
      </w:r>
      <w:r w:rsidRPr="00680F2A">
        <w:rPr>
          <w:rFonts w:ascii="Times New Roman" w:eastAsiaTheme="minorEastAsia" w:hAnsi="Times New Roman"/>
          <w:color w:val="000000" w:themeColor="text1"/>
        </w:rPr>
        <w:t xml:space="preserve">We have changed the </w:t>
      </w:r>
      <w:r>
        <w:rPr>
          <w:rFonts w:ascii="Times New Roman" w:eastAsiaTheme="minorEastAsia" w:hAnsi="Times New Roman" w:hint="eastAsia"/>
          <w:color w:val="000000" w:themeColor="text1"/>
        </w:rPr>
        <w:t>figures</w:t>
      </w:r>
      <w:r w:rsidRPr="00680F2A">
        <w:rPr>
          <w:rFonts w:ascii="Times New Roman" w:eastAsiaTheme="minorEastAsia" w:hAnsi="Times New Roman"/>
          <w:color w:val="000000" w:themeColor="text1"/>
        </w:rPr>
        <w:t xml:space="preserve"> as you suggested to the following</w:t>
      </w:r>
      <w:r>
        <w:rPr>
          <w:rFonts w:ascii="Times New Roman" w:eastAsiaTheme="minorEastAsia" w:hAnsi="Times New Roman" w:hint="eastAsia"/>
          <w:color w:val="000000" w:themeColor="text1"/>
        </w:rPr>
        <w:t>:</w:t>
      </w:r>
    </w:p>
    <w:p w14:paraId="216328FC" w14:textId="6E0792DF" w:rsidR="00680F2A" w:rsidRDefault="00680F2A" w:rsidP="00852A17">
      <w:pPr>
        <w:spacing w:before="100" w:beforeAutospacing="1" w:after="100" w:afterAutospacing="1"/>
        <w:ind w:left="720"/>
        <w:rPr>
          <w:rFonts w:ascii="Times New Roman" w:eastAsiaTheme="minorEastAsia" w:hAnsi="Times New Roman"/>
          <w:color w:val="000000" w:themeColor="text1"/>
        </w:rPr>
      </w:pPr>
      <w:r>
        <w:rPr>
          <w:rFonts w:eastAsia="宋体"/>
          <w:noProof/>
        </w:rPr>
        <w:lastRenderedPageBreak/>
        <w:drawing>
          <wp:inline distT="0" distB="0" distL="0" distR="0" wp14:anchorId="1C2323F1" wp14:editId="6913D471">
            <wp:extent cx="4555237" cy="6590015"/>
            <wp:effectExtent l="0" t="0" r="0" b="1905"/>
            <wp:docPr id="190706760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7067602" name="图片 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559011" cy="6595476"/>
                    </a:xfrm>
                    <a:prstGeom prst="rect">
                      <a:avLst/>
                    </a:prstGeom>
                  </pic:spPr>
                </pic:pic>
              </a:graphicData>
            </a:graphic>
          </wp:inline>
        </w:drawing>
      </w:r>
      <w:r>
        <w:rPr>
          <w:rFonts w:eastAsia="宋体"/>
          <w:b/>
          <w:bCs/>
          <w:noProof/>
        </w:rPr>
        <w:lastRenderedPageBreak/>
        <w:drawing>
          <wp:inline distT="0" distB="0" distL="0" distR="0" wp14:anchorId="339A7969" wp14:editId="038A3B5B">
            <wp:extent cx="4730826" cy="6844038"/>
            <wp:effectExtent l="0" t="0" r="0" b="0"/>
            <wp:docPr id="165769816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7698162" name="图片 2"/>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737394" cy="6853540"/>
                    </a:xfrm>
                    <a:prstGeom prst="rect">
                      <a:avLst/>
                    </a:prstGeom>
                  </pic:spPr>
                </pic:pic>
              </a:graphicData>
            </a:graphic>
          </wp:inline>
        </w:drawing>
      </w:r>
    </w:p>
    <w:p w14:paraId="1B15B5FE" w14:textId="3105C920" w:rsidR="00680F2A" w:rsidRDefault="00680F2A" w:rsidP="00852A17">
      <w:pPr>
        <w:spacing w:before="100" w:beforeAutospacing="1" w:after="100" w:afterAutospacing="1"/>
        <w:ind w:left="720"/>
        <w:rPr>
          <w:rFonts w:ascii="Times New Roman" w:eastAsiaTheme="minorEastAsia" w:hAnsi="Times New Roman"/>
          <w:color w:val="000000" w:themeColor="text1"/>
        </w:rPr>
      </w:pPr>
      <w:r w:rsidRPr="00680F2A">
        <w:rPr>
          <w:rFonts w:ascii="Times New Roman" w:eastAsiaTheme="minorEastAsia" w:hAnsi="Times New Roman"/>
          <w:color w:val="000000" w:themeColor="text1"/>
        </w:rPr>
        <w:t>Figure 4: Cement carbon process emission and uptake in 42 countries during 1928-2024. (a) 21 countries in Group 1 that the cement process emissions have reached peaking. (b) 21 countries in Group 2 with process carbon emissions non-peaked.</w:t>
      </w:r>
    </w:p>
    <w:p w14:paraId="4D7CCFCB" w14:textId="3303C8F0" w:rsidR="00680F2A" w:rsidRDefault="00680F2A" w:rsidP="00852A17">
      <w:pPr>
        <w:spacing w:before="100" w:beforeAutospacing="1" w:after="100" w:afterAutospacing="1"/>
        <w:ind w:left="720"/>
        <w:rPr>
          <w:rFonts w:ascii="Times New Roman" w:eastAsiaTheme="minorEastAsia" w:hAnsi="Times New Roman"/>
          <w:color w:val="000000" w:themeColor="text1"/>
          <w:lang w:val="en-GB"/>
        </w:rPr>
      </w:pPr>
      <w:r w:rsidRPr="00505442">
        <w:rPr>
          <w:rFonts w:eastAsia="宋体"/>
          <w:b/>
          <w:bCs/>
          <w:noProof/>
        </w:rPr>
        <w:lastRenderedPageBreak/>
        <w:drawing>
          <wp:inline distT="0" distB="0" distL="0" distR="0" wp14:anchorId="33406C5D" wp14:editId="38C548E5">
            <wp:extent cx="4346634" cy="3259975"/>
            <wp:effectExtent l="0" t="0" r="0" b="0"/>
            <wp:docPr id="122300469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3004692" name="图片 1"/>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351408" cy="3263556"/>
                    </a:xfrm>
                    <a:prstGeom prst="rect">
                      <a:avLst/>
                    </a:prstGeom>
                  </pic:spPr>
                </pic:pic>
              </a:graphicData>
            </a:graphic>
          </wp:inline>
        </w:drawing>
      </w:r>
    </w:p>
    <w:p w14:paraId="411D4EBF" w14:textId="1A2229A7" w:rsidR="00680F2A" w:rsidRPr="00680F2A" w:rsidRDefault="00680F2A" w:rsidP="00852A17">
      <w:pPr>
        <w:spacing w:before="100" w:beforeAutospacing="1" w:after="100" w:afterAutospacing="1"/>
        <w:ind w:left="720"/>
        <w:rPr>
          <w:rFonts w:ascii="Times New Roman" w:eastAsiaTheme="minorEastAsia" w:hAnsi="Times New Roman"/>
          <w:color w:val="000000" w:themeColor="text1"/>
          <w:lang w:val="en-GB"/>
        </w:rPr>
      </w:pPr>
      <w:r w:rsidRPr="00680F2A">
        <w:rPr>
          <w:rFonts w:ascii="Times New Roman" w:eastAsiaTheme="minorEastAsia" w:hAnsi="Times New Roman"/>
          <w:color w:val="000000" w:themeColor="text1"/>
          <w:lang w:val="en-GB"/>
        </w:rPr>
        <w:t>Figure 5: Comparison of trends of process carbon emission and uptake in peaked and non-peaked countries.</w:t>
      </w:r>
    </w:p>
    <w:p w14:paraId="381D205A" w14:textId="41F2831C" w:rsidR="005F260D" w:rsidRDefault="005F260D">
      <w:pPr>
        <w:widowControl/>
        <w:jc w:val="left"/>
        <w:rPr>
          <w:rFonts w:eastAsiaTheme="minorEastAsia" w:hint="eastAsia"/>
        </w:rPr>
      </w:pPr>
    </w:p>
    <w:p w14:paraId="21AADB4E" w14:textId="77777777" w:rsidR="004F58CC" w:rsidRDefault="004F58CC">
      <w:pPr>
        <w:widowControl/>
        <w:jc w:val="left"/>
        <w:rPr>
          <w:rFonts w:ascii="Times New Roman" w:eastAsiaTheme="minorEastAsia" w:hAnsi="Times New Roman" w:cs="Times New Roman"/>
          <w:b/>
          <w:bCs/>
        </w:rPr>
      </w:pPr>
      <w:r>
        <w:rPr>
          <w:rFonts w:ascii="Times New Roman" w:eastAsiaTheme="minorEastAsia" w:hAnsi="Times New Roman" w:cs="Times New Roman"/>
          <w:b/>
          <w:bCs/>
        </w:rPr>
        <w:br w:type="page"/>
      </w:r>
    </w:p>
    <w:p w14:paraId="3D5AB10A" w14:textId="57BA5063" w:rsidR="009750D8" w:rsidRPr="005F260D" w:rsidRDefault="005F260D" w:rsidP="00852A17">
      <w:pPr>
        <w:spacing w:before="100" w:beforeAutospacing="1" w:after="100" w:afterAutospacing="1"/>
        <w:rPr>
          <w:rFonts w:ascii="Times New Roman" w:eastAsiaTheme="minorEastAsia" w:hAnsi="Times New Roman" w:cs="Times New Roman"/>
          <w:b/>
          <w:bCs/>
        </w:rPr>
      </w:pPr>
      <w:r w:rsidRPr="005F260D">
        <w:rPr>
          <w:rFonts w:ascii="Times New Roman" w:eastAsiaTheme="minorEastAsia" w:hAnsi="Times New Roman" w:cs="Times New Roman"/>
          <w:b/>
          <w:bCs/>
        </w:rPr>
        <w:lastRenderedPageBreak/>
        <w:t>References:</w:t>
      </w:r>
    </w:p>
    <w:p w14:paraId="5B759EC0" w14:textId="77777777" w:rsidR="004F58CC" w:rsidRPr="004F58CC" w:rsidRDefault="005F260D" w:rsidP="004F58CC">
      <w:pPr>
        <w:pStyle w:val="aa"/>
        <w:rPr>
          <w:rFonts w:ascii="Times New Roman" w:hAnsi="Times New Roman" w:cs="Times New Roman"/>
        </w:rPr>
      </w:pPr>
      <w:r w:rsidRPr="004F58CC">
        <w:rPr>
          <w:rFonts w:ascii="Times New Roman" w:eastAsiaTheme="minorEastAsia" w:hAnsi="Times New Roman" w:cs="Times New Roman"/>
        </w:rPr>
        <w:fldChar w:fldCharType="begin"/>
      </w:r>
      <w:r w:rsidR="004F58CC" w:rsidRPr="004F58CC">
        <w:rPr>
          <w:rFonts w:ascii="Times New Roman" w:eastAsiaTheme="minorEastAsia" w:hAnsi="Times New Roman" w:cs="Times New Roman"/>
        </w:rPr>
        <w:instrText xml:space="preserve"> ADDIN ZOTERO_BIBL {"uncited":[],"omitted":[],"custom":[]} CSL_BIBLIOGRAPHY </w:instrText>
      </w:r>
      <w:r w:rsidRPr="004F58CC">
        <w:rPr>
          <w:rFonts w:ascii="Times New Roman" w:eastAsiaTheme="minorEastAsia" w:hAnsi="Times New Roman" w:cs="Times New Roman"/>
        </w:rPr>
        <w:fldChar w:fldCharType="separate"/>
      </w:r>
      <w:r w:rsidR="004F58CC" w:rsidRPr="004F58CC">
        <w:rPr>
          <w:rFonts w:ascii="Times New Roman" w:hAnsi="Times New Roman" w:cs="Times New Roman"/>
        </w:rPr>
        <w:t xml:space="preserve">Alshalif, A. F., Irwan, J. M., Othman, N., Al-Gheethi, A. A., Shamsudin, S., and Nasser, I. M.: Optimisation of carbon dioxide sequestration into bio-foamed concrete bricks pores using </w:t>
      </w:r>
      <w:r w:rsidR="004F58CC" w:rsidRPr="004F58CC">
        <w:rPr>
          <w:rFonts w:ascii="Times New Roman" w:hAnsi="Times New Roman" w:cs="Times New Roman"/>
          <w:i/>
          <w:iCs/>
        </w:rPr>
        <w:t>Bacillus tequilensis</w:t>
      </w:r>
      <w:r w:rsidR="004F58CC" w:rsidRPr="004F58CC">
        <w:rPr>
          <w:rFonts w:ascii="Times New Roman" w:hAnsi="Times New Roman" w:cs="Times New Roman"/>
        </w:rPr>
        <w:t>, Journal of CO2 Utilization, 44, 101412, https://doi.org/10.1016/j.jcou.2020.101412, 2021.</w:t>
      </w:r>
    </w:p>
    <w:p w14:paraId="4A580DE8" w14:textId="77777777" w:rsidR="004F58CC" w:rsidRPr="004F58CC" w:rsidRDefault="004F58CC" w:rsidP="004F58CC">
      <w:pPr>
        <w:pStyle w:val="aa"/>
        <w:rPr>
          <w:rFonts w:ascii="Times New Roman" w:hAnsi="Times New Roman" w:cs="Times New Roman"/>
        </w:rPr>
      </w:pPr>
      <w:r w:rsidRPr="004F58CC">
        <w:rPr>
          <w:rFonts w:ascii="Times New Roman" w:hAnsi="Times New Roman" w:cs="Times New Roman"/>
        </w:rPr>
        <w:t>Alshalif, A. F., Irwan, J. M., Othman, N., Al-Gheethi, A. A., and Shamsudin, S.: A systematic review on bio-sequestration of carbon dioxide in bio-concrete systems: a future direction, European Journal of Environmental and Civil Engineering, 26, 1209–1228, https://doi.org/10.1080/19648189.2020.1713899, 2022.</w:t>
      </w:r>
    </w:p>
    <w:p w14:paraId="2F1A552C" w14:textId="77777777" w:rsidR="004F58CC" w:rsidRPr="004F58CC" w:rsidRDefault="004F58CC" w:rsidP="004F58CC">
      <w:pPr>
        <w:pStyle w:val="aa"/>
        <w:rPr>
          <w:rFonts w:ascii="Times New Roman" w:hAnsi="Times New Roman" w:cs="Times New Roman"/>
        </w:rPr>
      </w:pPr>
      <w:r w:rsidRPr="004F58CC">
        <w:rPr>
          <w:rFonts w:ascii="Times New Roman" w:hAnsi="Times New Roman" w:cs="Times New Roman"/>
        </w:rPr>
        <w:t>Castellote, M., Andrade, C., Turrillas, X., Campo, J., and Cuello, G. J.: Accelerated carbonation of cement pastes in situ monitored by neutron diffraction, Cement and Concrete Research, 38, 1365–1373, https://doi.org/10.1016/j.cemconres.2008.07.002, 2008.</w:t>
      </w:r>
    </w:p>
    <w:p w14:paraId="2042554C" w14:textId="77777777" w:rsidR="004F58CC" w:rsidRPr="004F58CC" w:rsidRDefault="004F58CC" w:rsidP="004F58CC">
      <w:pPr>
        <w:pStyle w:val="aa"/>
        <w:rPr>
          <w:rFonts w:ascii="Times New Roman" w:hAnsi="Times New Roman" w:cs="Times New Roman"/>
        </w:rPr>
      </w:pPr>
      <w:r w:rsidRPr="004F58CC">
        <w:rPr>
          <w:rFonts w:ascii="Times New Roman" w:hAnsi="Times New Roman" w:cs="Times New Roman"/>
        </w:rPr>
        <w:t>Cheng, D., Reiner, D. M., Yang, F., Cui, C., Meng, J., Shan, Y., Liu, Y., Tao, S., and Guan, D.: Projecting future carbon emissions from cement production in developing countries, Nat Commun, 14, 8213, https://doi.org/10.1038/s41467-023-43660-x, 2023.</w:t>
      </w:r>
    </w:p>
    <w:p w14:paraId="2BCF160F" w14:textId="77777777" w:rsidR="004F58CC" w:rsidRPr="004F58CC" w:rsidRDefault="004F58CC" w:rsidP="004F58CC">
      <w:pPr>
        <w:pStyle w:val="aa"/>
        <w:rPr>
          <w:rFonts w:ascii="Times New Roman" w:hAnsi="Times New Roman" w:cs="Times New Roman"/>
        </w:rPr>
      </w:pPr>
      <w:r w:rsidRPr="004F58CC">
        <w:rPr>
          <w:rFonts w:ascii="Times New Roman" w:hAnsi="Times New Roman" w:cs="Times New Roman"/>
        </w:rPr>
        <w:t>Ediger, V. Ş., Akar, S., and Uğurlu, B.: Forecasting production of fossil fuel sources in turkey using a comparative regression and ARIMA model, Energy Policy, 34, 3836</w:t>
      </w:r>
      <w:r w:rsidRPr="004F58CC">
        <w:rPr>
          <w:rFonts w:ascii="Times New Roman" w:eastAsia="等线" w:hAnsi="Times New Roman" w:cs="Times New Roman"/>
        </w:rPr>
        <w:t>–</w:t>
      </w:r>
      <w:r w:rsidRPr="004F58CC">
        <w:rPr>
          <w:rFonts w:ascii="Times New Roman" w:hAnsi="Times New Roman" w:cs="Times New Roman"/>
        </w:rPr>
        <w:t>3846, https://doi.org/10.1016/j.enpol.2005.08.023, 2006.</w:t>
      </w:r>
    </w:p>
    <w:p w14:paraId="428E01EF" w14:textId="77777777" w:rsidR="004F58CC" w:rsidRPr="004F58CC" w:rsidRDefault="004F58CC" w:rsidP="004F58CC">
      <w:pPr>
        <w:pStyle w:val="aa"/>
        <w:rPr>
          <w:rFonts w:ascii="Times New Roman" w:hAnsi="Times New Roman" w:cs="Times New Roman"/>
        </w:rPr>
      </w:pPr>
      <w:r w:rsidRPr="004F58CC">
        <w:rPr>
          <w:rFonts w:ascii="Times New Roman" w:hAnsi="Times New Roman" w:cs="Times New Roman"/>
        </w:rPr>
        <w:t>Guo, R., Wang, J., Bing, L., Tong, D., Ciais, P., Davis, S. J., Andrew, R. M., Xi, F., and Liu, Z.: Global CO</w:t>
      </w:r>
      <w:r w:rsidRPr="004F58CC">
        <w:rPr>
          <w:rFonts w:ascii="Times New Roman" w:hAnsi="Times New Roman" w:cs="Times New Roman"/>
          <w:vertAlign w:val="subscript"/>
        </w:rPr>
        <w:t>2</w:t>
      </w:r>
      <w:r w:rsidRPr="004F58CC">
        <w:rPr>
          <w:rFonts w:ascii="Times New Roman" w:hAnsi="Times New Roman" w:cs="Times New Roman"/>
        </w:rPr>
        <w:t xml:space="preserve"> uptake by cement from 1930 to 2019, Earth System Science Data, 13, 1791–1805, https://doi.org/10.5194/essd-13-1791-2021, 2021.</w:t>
      </w:r>
    </w:p>
    <w:p w14:paraId="5CED0869" w14:textId="77777777" w:rsidR="004F58CC" w:rsidRPr="004F58CC" w:rsidRDefault="004F58CC" w:rsidP="004F58CC">
      <w:pPr>
        <w:pStyle w:val="aa"/>
        <w:rPr>
          <w:rFonts w:ascii="Times New Roman" w:hAnsi="Times New Roman" w:cs="Times New Roman"/>
        </w:rPr>
      </w:pPr>
      <w:r w:rsidRPr="004F58CC">
        <w:rPr>
          <w:rFonts w:ascii="Times New Roman" w:hAnsi="Times New Roman" w:cs="Times New Roman"/>
        </w:rPr>
        <w:t>Huang, Z., Wang, J., Bing, L., Qiu, Y., Guo, R., Yu, Y., Ma, M., Niu, L., Tong, D., Andrew, R. M., Friedlingstein, P., Canadell, J. G., Xi, F., and Liu, Z.: Global carbon uptake of cement carbonation accounts 1930–2021, Earth System Science Data, 15, 4947–4958, https://doi.org/10.5194/essd-15-4947-2023, 2023.</w:t>
      </w:r>
    </w:p>
    <w:p w14:paraId="0C689524" w14:textId="77777777" w:rsidR="004F58CC" w:rsidRPr="004F58CC" w:rsidRDefault="004F58CC" w:rsidP="004F58CC">
      <w:pPr>
        <w:pStyle w:val="aa"/>
        <w:rPr>
          <w:rFonts w:ascii="Times New Roman" w:hAnsi="Times New Roman" w:cs="Times New Roman"/>
        </w:rPr>
      </w:pPr>
      <w:r w:rsidRPr="004F58CC">
        <w:rPr>
          <w:rFonts w:ascii="Times New Roman" w:hAnsi="Times New Roman" w:cs="Times New Roman"/>
        </w:rPr>
        <w:t>Huang, Z., Zhou, H., Miao, Z., Tang, H., Lin, B., and Zhuang, W.: Life-cycle carbon emissions (LCCE) of buildings: Implications, calculations, and reductions, Engineering, 35, 115–139, https://doi.org/10.1016/j.eng.2023.08.019, 2024.</w:t>
      </w:r>
    </w:p>
    <w:p w14:paraId="232E3642" w14:textId="77777777" w:rsidR="004F58CC" w:rsidRPr="004F58CC" w:rsidRDefault="004F58CC" w:rsidP="004F58CC">
      <w:pPr>
        <w:pStyle w:val="aa"/>
        <w:rPr>
          <w:rFonts w:ascii="Times New Roman" w:hAnsi="Times New Roman" w:cs="Times New Roman"/>
        </w:rPr>
      </w:pPr>
      <w:r w:rsidRPr="004F58CC">
        <w:rPr>
          <w:rFonts w:ascii="Times New Roman" w:hAnsi="Times New Roman" w:cs="Times New Roman"/>
        </w:rPr>
        <w:t>Technology Roadmap - Low-Carbon Transition in the Cement Industry – Analysis: https://www.iea.org/reports/technology-roadmap-low-carbon-transition-in-the-cement-industry, last access: 2 August 2024.</w:t>
      </w:r>
    </w:p>
    <w:p w14:paraId="3EE453F3" w14:textId="77777777" w:rsidR="004F58CC" w:rsidRPr="004F58CC" w:rsidRDefault="004F58CC" w:rsidP="004F58CC">
      <w:pPr>
        <w:pStyle w:val="aa"/>
        <w:rPr>
          <w:rFonts w:ascii="Times New Roman" w:hAnsi="Times New Roman" w:cs="Times New Roman"/>
        </w:rPr>
      </w:pPr>
      <w:r w:rsidRPr="004F58CC">
        <w:rPr>
          <w:rFonts w:ascii="Times New Roman" w:hAnsi="Times New Roman" w:cs="Times New Roman"/>
        </w:rPr>
        <w:t>Mo, L. and Panesar, D. K.: Accelerated carbonation – A potential approach to sequester CO2 in cement paste containing slag and reactive MgO, Cement and Concrete Composites, 43, 69–77, https://doi.org/10.1016/j.cemconcomp.2013.07.001, 2013.</w:t>
      </w:r>
    </w:p>
    <w:p w14:paraId="5875602D" w14:textId="77777777" w:rsidR="004F58CC" w:rsidRPr="004F58CC" w:rsidRDefault="004F58CC" w:rsidP="004F58CC">
      <w:pPr>
        <w:pStyle w:val="aa"/>
        <w:rPr>
          <w:rFonts w:ascii="Times New Roman" w:hAnsi="Times New Roman" w:cs="Times New Roman"/>
        </w:rPr>
      </w:pPr>
      <w:r w:rsidRPr="004F58CC">
        <w:rPr>
          <w:rFonts w:ascii="Times New Roman" w:hAnsi="Times New Roman" w:cs="Times New Roman"/>
        </w:rPr>
        <w:t xml:space="preserve">Morandeau, A., Thiéry, M., and Dangla, P.: Impact of accelerated carbonation on OPC cement paste blended with fly ash, Cement and Concrete Research, 67, 226–236, </w:t>
      </w:r>
      <w:r w:rsidRPr="004F58CC">
        <w:rPr>
          <w:rFonts w:ascii="Times New Roman" w:hAnsi="Times New Roman" w:cs="Times New Roman"/>
        </w:rPr>
        <w:lastRenderedPageBreak/>
        <w:t>https://doi.org/10.1016/j.cemconres.2014.10.003, 2015.</w:t>
      </w:r>
    </w:p>
    <w:p w14:paraId="29F78274" w14:textId="77777777" w:rsidR="004F58CC" w:rsidRPr="004F58CC" w:rsidRDefault="004F58CC" w:rsidP="004F58CC">
      <w:pPr>
        <w:pStyle w:val="aa"/>
        <w:rPr>
          <w:rFonts w:ascii="Times New Roman" w:hAnsi="Times New Roman" w:cs="Times New Roman"/>
        </w:rPr>
      </w:pPr>
      <w:r w:rsidRPr="004F58CC">
        <w:rPr>
          <w:rFonts w:ascii="Times New Roman" w:hAnsi="Times New Roman" w:cs="Times New Roman"/>
        </w:rPr>
        <w:t>Mutele, L. and Carranza, E. J. M.: Statistical analysis of gold production in south africa using ARIMA, VAR and ARNN modelling techniques: Extrapolating future gold production, resources–reserves depletion, and implication on south africa’s gold exploration, Resources Policy, 93, 105076, https://doi.org/10.1016/j.resourpol.2024.105076, 2024.</w:t>
      </w:r>
    </w:p>
    <w:p w14:paraId="17546965" w14:textId="77777777" w:rsidR="004F58CC" w:rsidRPr="004F58CC" w:rsidRDefault="004F58CC" w:rsidP="004F58CC">
      <w:pPr>
        <w:pStyle w:val="aa"/>
        <w:rPr>
          <w:rFonts w:ascii="Times New Roman" w:hAnsi="Times New Roman" w:cs="Times New Roman"/>
        </w:rPr>
      </w:pPr>
      <w:r w:rsidRPr="004F58CC">
        <w:rPr>
          <w:rFonts w:ascii="Times New Roman" w:hAnsi="Times New Roman" w:cs="Times New Roman"/>
        </w:rPr>
        <w:t>Ning, Y., Kazemi, H., and Tahmasebi, P.: A comparative machine learning study for time series oil production forecasting: ARIMA, LSTM, and prophet, Computers &amp; Geosciences, 164, 105126, https://doi.org/10.1016/j.cageo.2022.105126, 2022.</w:t>
      </w:r>
    </w:p>
    <w:p w14:paraId="1C5C0596" w14:textId="77777777" w:rsidR="004F58CC" w:rsidRPr="004F58CC" w:rsidRDefault="004F58CC" w:rsidP="004F58CC">
      <w:pPr>
        <w:pStyle w:val="aa"/>
        <w:rPr>
          <w:rFonts w:ascii="Times New Roman" w:hAnsi="Times New Roman" w:cs="Times New Roman"/>
        </w:rPr>
      </w:pPr>
      <w:r w:rsidRPr="004F58CC">
        <w:rPr>
          <w:rFonts w:ascii="Times New Roman" w:hAnsi="Times New Roman" w:cs="Times New Roman"/>
        </w:rPr>
        <w:t>Ostovari, H., Müller, L., Skocek, J., and Bardow, A.: From unavoidable CO2 source to CO2 sink? A cement industry based on CO2 mineralization, Environ. Sci. Technol., 55, 5212–5223, https://doi.org/10.1021/acs.est.0c07599, 2021.</w:t>
      </w:r>
    </w:p>
    <w:p w14:paraId="114F0052" w14:textId="77777777" w:rsidR="004F58CC" w:rsidRPr="004F58CC" w:rsidRDefault="004F58CC" w:rsidP="004F58CC">
      <w:pPr>
        <w:pStyle w:val="aa"/>
        <w:rPr>
          <w:rFonts w:ascii="Times New Roman" w:hAnsi="Times New Roman" w:cs="Times New Roman"/>
        </w:rPr>
      </w:pPr>
      <w:r w:rsidRPr="004F58CC">
        <w:rPr>
          <w:rFonts w:ascii="Times New Roman" w:hAnsi="Times New Roman" w:cs="Times New Roman"/>
        </w:rPr>
        <w:t>Pu, Y., Li, L., Shi, X., Wang, Q., and Abomohra, A.: Recent advances in accelerated carbonation for improving cement-based materials and CO2 mitigation from a life cycle perspective, Construction and Building Materials, 388, 131695, https://doi.org/10.1016/j.conbuildmat.2023.131695, 2023.</w:t>
      </w:r>
    </w:p>
    <w:p w14:paraId="1ECBFF71" w14:textId="77777777" w:rsidR="004F58CC" w:rsidRPr="004F58CC" w:rsidRDefault="004F58CC" w:rsidP="004F58CC">
      <w:pPr>
        <w:pStyle w:val="aa"/>
        <w:rPr>
          <w:rFonts w:ascii="Times New Roman" w:hAnsi="Times New Roman" w:cs="Times New Roman"/>
        </w:rPr>
      </w:pPr>
      <w:r w:rsidRPr="004F58CC">
        <w:rPr>
          <w:rFonts w:ascii="Times New Roman" w:hAnsi="Times New Roman" w:cs="Times New Roman"/>
        </w:rPr>
        <w:t>Schneider, M.: The cement industry on the way to a low-carbon future, Cement and Concrete Research, 124, 105792, https://doi.org/10.1016/j.cemconres.2019.105792, 2019.</w:t>
      </w:r>
    </w:p>
    <w:p w14:paraId="131347A1" w14:textId="77777777" w:rsidR="004F58CC" w:rsidRPr="004F58CC" w:rsidRDefault="004F58CC" w:rsidP="004F58CC">
      <w:pPr>
        <w:pStyle w:val="aa"/>
        <w:rPr>
          <w:rFonts w:ascii="Times New Roman" w:hAnsi="Times New Roman" w:cs="Times New Roman"/>
        </w:rPr>
      </w:pPr>
      <w:r w:rsidRPr="004F58CC">
        <w:rPr>
          <w:rFonts w:ascii="Times New Roman" w:hAnsi="Times New Roman" w:cs="Times New Roman"/>
        </w:rPr>
        <w:t>Wu, S., Niu, L., Wang, J., and Xi, F.: Global and national CO2 uptake by cement carbonation from 1928 to 2024, https://doi.org/10.5281/zenodo.13827861, 2024.</w:t>
      </w:r>
    </w:p>
    <w:p w14:paraId="65AF9A17" w14:textId="77777777" w:rsidR="004F58CC" w:rsidRPr="004F58CC" w:rsidRDefault="004F58CC" w:rsidP="004F58CC">
      <w:pPr>
        <w:pStyle w:val="aa"/>
        <w:rPr>
          <w:rFonts w:ascii="Times New Roman" w:hAnsi="Times New Roman" w:cs="Times New Roman"/>
        </w:rPr>
      </w:pPr>
      <w:r w:rsidRPr="004F58CC">
        <w:rPr>
          <w:rFonts w:ascii="Times New Roman" w:hAnsi="Times New Roman" w:cs="Times New Roman"/>
        </w:rPr>
        <w:t>Xi, F., Davis, S. J., Ciais, P., Crawford-Brown, D., Guan, D., Pade, C., Shi, T., Syddall, M., Lv, J., Ji, L., Bing, L., Wang, J., Wei, W., Yang, K.-H., Lagerblad, B., Galan, I., Andrade, C., Zhang, Y., and Liu, Z.: Substantial global carbon uptake by cement carbonation, Nature Geosci, 9, 880–883, https://doi.org/10.1038/ngeo2840, 2016.</w:t>
      </w:r>
    </w:p>
    <w:p w14:paraId="1CB763D0" w14:textId="77777777" w:rsidR="004F58CC" w:rsidRPr="004F58CC" w:rsidRDefault="004F58CC" w:rsidP="004F58CC">
      <w:pPr>
        <w:pStyle w:val="aa"/>
        <w:rPr>
          <w:rFonts w:ascii="Times New Roman" w:hAnsi="Times New Roman" w:cs="Times New Roman"/>
        </w:rPr>
      </w:pPr>
      <w:r w:rsidRPr="004F58CC">
        <w:rPr>
          <w:rFonts w:ascii="Times New Roman" w:hAnsi="Times New Roman" w:cs="Times New Roman"/>
        </w:rPr>
        <w:t>You, X., Hu, X., He, P., Liu, J., and Shi, C.: A review on the modelling of carbonation of hardened and fresh cement-based materials, Cement and Concrete Composites, 125, 104315, https://doi.org/10.1016/j.cemconcomp.2021.104315, 2022.</w:t>
      </w:r>
    </w:p>
    <w:p w14:paraId="427CD4EA" w14:textId="77777777" w:rsidR="004F58CC" w:rsidRPr="004F58CC" w:rsidRDefault="004F58CC" w:rsidP="004F58CC">
      <w:pPr>
        <w:pStyle w:val="aa"/>
        <w:rPr>
          <w:rFonts w:ascii="Times New Roman" w:hAnsi="Times New Roman" w:cs="Times New Roman"/>
        </w:rPr>
      </w:pPr>
      <w:r w:rsidRPr="004F58CC">
        <w:rPr>
          <w:rFonts w:ascii="Times New Roman" w:hAnsi="Times New Roman" w:cs="Times New Roman"/>
        </w:rPr>
        <w:t>Zhang, T., Cui, J., Chen, M., Yang, J., Yan, Z., and Zhang, M.: Durability of concrete containing carbonated recycled aggregates: A comprehensive review, Cement and Concrete Composites, 156, 105865, https://doi.org/10.1016/j.cemconcomp.2024.105865, 2025.</w:t>
      </w:r>
    </w:p>
    <w:p w14:paraId="6E578295" w14:textId="2133C85E" w:rsidR="005F260D" w:rsidRPr="005F260D" w:rsidRDefault="005F260D" w:rsidP="00852A17">
      <w:pPr>
        <w:spacing w:before="100" w:beforeAutospacing="1" w:after="100" w:afterAutospacing="1"/>
        <w:rPr>
          <w:rFonts w:ascii="Times New Roman" w:eastAsiaTheme="minorEastAsia" w:hAnsi="Times New Roman" w:cs="Times New Roman"/>
        </w:rPr>
      </w:pPr>
      <w:r w:rsidRPr="004F58CC">
        <w:rPr>
          <w:rFonts w:ascii="Times New Roman" w:eastAsiaTheme="minorEastAsia" w:hAnsi="Times New Roman" w:cs="Times New Roman"/>
        </w:rPr>
        <w:fldChar w:fldCharType="end"/>
      </w:r>
    </w:p>
    <w:sectPr w:rsidR="005F260D" w:rsidRPr="005F260D">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4279C23" w14:textId="77777777" w:rsidR="0084703D" w:rsidRDefault="0084703D" w:rsidP="006E4C52">
      <w:r>
        <w:separator/>
      </w:r>
    </w:p>
  </w:endnote>
  <w:endnote w:type="continuationSeparator" w:id="0">
    <w:p w14:paraId="6761B80C" w14:textId="77777777" w:rsidR="0084703D" w:rsidRDefault="0084703D" w:rsidP="006E4C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等线">
    <w:altName w:val="DengXian"/>
    <w:panose1 w:val="02010600030101010101"/>
    <w:charset w:val="86"/>
    <w:family w:val="auto"/>
    <w:pitch w:val="variable"/>
    <w:sig w:usb0="A00002BF" w:usb1="38CF7CFA" w:usb2="00000016" w:usb3="00000000" w:csb0="0004000F" w:csb1="00000000"/>
  </w:font>
  <w:font w:name="Cambria Math">
    <w:panose1 w:val="02040503050406030204"/>
    <w:charset w:val="00"/>
    <w:family w:val="roman"/>
    <w:pitch w:val="variable"/>
    <w:sig w:usb0="E00006FF" w:usb1="420024FF" w:usb2="02000000" w:usb3="00000000" w:csb0="0000019F" w:csb1="00000000"/>
  </w:font>
  <w:font w:name="宋体">
    <w:altName w:val="SimSun"/>
    <w:panose1 w:val="02010600030101010101"/>
    <w:charset w:val="86"/>
    <w:family w:val="auto"/>
    <w:pitch w:val="variable"/>
    <w:sig w:usb0="00000203" w:usb1="288F0000" w:usb2="00000016" w:usb3="00000000" w:csb0="00040001" w:csb1="00000000"/>
  </w:font>
  <w:font w:name="微软雅黑">
    <w:panose1 w:val="020B0503020204020204"/>
    <w:charset w:val="86"/>
    <w:family w:val="swiss"/>
    <w:pitch w:val="variable"/>
    <w:sig w:usb0="80000287" w:usb1="2ACF3C50" w:usb2="00000016" w:usb3="00000000" w:csb0="0004001F"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A730548" w14:textId="77777777" w:rsidR="0084703D" w:rsidRDefault="0084703D" w:rsidP="006E4C52">
      <w:r>
        <w:separator/>
      </w:r>
    </w:p>
  </w:footnote>
  <w:footnote w:type="continuationSeparator" w:id="0">
    <w:p w14:paraId="5D2F4100" w14:textId="77777777" w:rsidR="0084703D" w:rsidRDefault="0084703D" w:rsidP="006E4C5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F57324"/>
    <w:multiLevelType w:val="multilevel"/>
    <w:tmpl w:val="EFBE0A4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5CE038B6"/>
    <w:multiLevelType w:val="multilevel"/>
    <w:tmpl w:val="C1B4D0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63783843"/>
    <w:multiLevelType w:val="hybridMultilevel"/>
    <w:tmpl w:val="66F8B6B4"/>
    <w:lvl w:ilvl="0" w:tplc="0688CED2">
      <w:start w:val="1"/>
      <w:numFmt w:val="decimal"/>
      <w:lvlText w:val="%1."/>
      <w:lvlJc w:val="left"/>
      <w:pPr>
        <w:ind w:left="440" w:hanging="440"/>
      </w:pPr>
      <w:rPr>
        <w:rFonts w:hint="eastAsia"/>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3" w15:restartNumberingAfterBreak="0">
    <w:nsid w:val="66034EA9"/>
    <w:multiLevelType w:val="multilevel"/>
    <w:tmpl w:val="D332E2F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795E59E2"/>
    <w:multiLevelType w:val="hybridMultilevel"/>
    <w:tmpl w:val="DD6E64D4"/>
    <w:lvl w:ilvl="0" w:tplc="0409000F">
      <w:start w:val="1"/>
      <w:numFmt w:val="decimal"/>
      <w:lvlText w:val="%1."/>
      <w:lvlJc w:val="left"/>
      <w:pPr>
        <w:ind w:left="1160" w:hanging="440"/>
      </w:pPr>
    </w:lvl>
    <w:lvl w:ilvl="1" w:tplc="04090019" w:tentative="1">
      <w:start w:val="1"/>
      <w:numFmt w:val="lowerLetter"/>
      <w:lvlText w:val="%2)"/>
      <w:lvlJc w:val="left"/>
      <w:pPr>
        <w:ind w:left="1600" w:hanging="440"/>
      </w:pPr>
    </w:lvl>
    <w:lvl w:ilvl="2" w:tplc="0409001B" w:tentative="1">
      <w:start w:val="1"/>
      <w:numFmt w:val="lowerRoman"/>
      <w:lvlText w:val="%3."/>
      <w:lvlJc w:val="right"/>
      <w:pPr>
        <w:ind w:left="2040" w:hanging="440"/>
      </w:pPr>
    </w:lvl>
    <w:lvl w:ilvl="3" w:tplc="0409000F" w:tentative="1">
      <w:start w:val="1"/>
      <w:numFmt w:val="decimal"/>
      <w:lvlText w:val="%4."/>
      <w:lvlJc w:val="left"/>
      <w:pPr>
        <w:ind w:left="2480" w:hanging="440"/>
      </w:pPr>
    </w:lvl>
    <w:lvl w:ilvl="4" w:tplc="04090019" w:tentative="1">
      <w:start w:val="1"/>
      <w:numFmt w:val="lowerLetter"/>
      <w:lvlText w:val="%5)"/>
      <w:lvlJc w:val="left"/>
      <w:pPr>
        <w:ind w:left="2920" w:hanging="440"/>
      </w:pPr>
    </w:lvl>
    <w:lvl w:ilvl="5" w:tplc="0409001B" w:tentative="1">
      <w:start w:val="1"/>
      <w:numFmt w:val="lowerRoman"/>
      <w:lvlText w:val="%6."/>
      <w:lvlJc w:val="right"/>
      <w:pPr>
        <w:ind w:left="3360" w:hanging="440"/>
      </w:pPr>
    </w:lvl>
    <w:lvl w:ilvl="6" w:tplc="0409000F" w:tentative="1">
      <w:start w:val="1"/>
      <w:numFmt w:val="decimal"/>
      <w:lvlText w:val="%7."/>
      <w:lvlJc w:val="left"/>
      <w:pPr>
        <w:ind w:left="3800" w:hanging="440"/>
      </w:pPr>
    </w:lvl>
    <w:lvl w:ilvl="7" w:tplc="04090019" w:tentative="1">
      <w:start w:val="1"/>
      <w:numFmt w:val="lowerLetter"/>
      <w:lvlText w:val="%8)"/>
      <w:lvlJc w:val="left"/>
      <w:pPr>
        <w:ind w:left="4240" w:hanging="440"/>
      </w:pPr>
    </w:lvl>
    <w:lvl w:ilvl="8" w:tplc="0409001B" w:tentative="1">
      <w:start w:val="1"/>
      <w:numFmt w:val="lowerRoman"/>
      <w:lvlText w:val="%9."/>
      <w:lvlJc w:val="right"/>
      <w:pPr>
        <w:ind w:left="4680" w:hanging="440"/>
      </w:pPr>
    </w:lvl>
  </w:abstractNum>
  <w:num w:numId="1" w16cid:durableId="940531610">
    <w:abstractNumId w:val="3"/>
  </w:num>
  <w:num w:numId="2" w16cid:durableId="1883252381">
    <w:abstractNumId w:val="1"/>
  </w:num>
  <w:num w:numId="3" w16cid:durableId="230818528">
    <w:abstractNumId w:val="0"/>
  </w:num>
  <w:num w:numId="4" w16cid:durableId="1788501094">
    <w:abstractNumId w:val="4"/>
  </w:num>
  <w:num w:numId="5" w16cid:durableId="149476209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750D8"/>
    <w:rsid w:val="000037BD"/>
    <w:rsid w:val="00026F2F"/>
    <w:rsid w:val="00034E00"/>
    <w:rsid w:val="00053188"/>
    <w:rsid w:val="00083A18"/>
    <w:rsid w:val="00085F28"/>
    <w:rsid w:val="00091394"/>
    <w:rsid w:val="00093BC5"/>
    <w:rsid w:val="000D36E0"/>
    <w:rsid w:val="000F04A2"/>
    <w:rsid w:val="000F5790"/>
    <w:rsid w:val="00135CC6"/>
    <w:rsid w:val="001A03C9"/>
    <w:rsid w:val="001A072A"/>
    <w:rsid w:val="001A6CED"/>
    <w:rsid w:val="001D0910"/>
    <w:rsid w:val="001F3F87"/>
    <w:rsid w:val="00211FA3"/>
    <w:rsid w:val="002300E9"/>
    <w:rsid w:val="00242B4D"/>
    <w:rsid w:val="00244258"/>
    <w:rsid w:val="00245C6D"/>
    <w:rsid w:val="0028183E"/>
    <w:rsid w:val="002821A9"/>
    <w:rsid w:val="0028723D"/>
    <w:rsid w:val="002A407E"/>
    <w:rsid w:val="002A6AD9"/>
    <w:rsid w:val="002D0A54"/>
    <w:rsid w:val="002D223F"/>
    <w:rsid w:val="002E2000"/>
    <w:rsid w:val="002E46FF"/>
    <w:rsid w:val="002E58BE"/>
    <w:rsid w:val="00315FFD"/>
    <w:rsid w:val="00323818"/>
    <w:rsid w:val="00324849"/>
    <w:rsid w:val="003603B6"/>
    <w:rsid w:val="003771E8"/>
    <w:rsid w:val="003A208F"/>
    <w:rsid w:val="003A7492"/>
    <w:rsid w:val="003C3C4D"/>
    <w:rsid w:val="003E3502"/>
    <w:rsid w:val="003E5168"/>
    <w:rsid w:val="003E7611"/>
    <w:rsid w:val="00415B73"/>
    <w:rsid w:val="00435051"/>
    <w:rsid w:val="00435147"/>
    <w:rsid w:val="00450188"/>
    <w:rsid w:val="00456487"/>
    <w:rsid w:val="0046682E"/>
    <w:rsid w:val="004A74DC"/>
    <w:rsid w:val="004E0DC0"/>
    <w:rsid w:val="004F58CC"/>
    <w:rsid w:val="004F623C"/>
    <w:rsid w:val="00502E37"/>
    <w:rsid w:val="00506F3D"/>
    <w:rsid w:val="00513B92"/>
    <w:rsid w:val="00516836"/>
    <w:rsid w:val="00520BEE"/>
    <w:rsid w:val="00534216"/>
    <w:rsid w:val="005515C1"/>
    <w:rsid w:val="00556B91"/>
    <w:rsid w:val="00584798"/>
    <w:rsid w:val="005A46F5"/>
    <w:rsid w:val="005A4AEF"/>
    <w:rsid w:val="005A7DF7"/>
    <w:rsid w:val="005B71E1"/>
    <w:rsid w:val="005C537C"/>
    <w:rsid w:val="005E6EEB"/>
    <w:rsid w:val="005E6FA1"/>
    <w:rsid w:val="005F260D"/>
    <w:rsid w:val="0063111C"/>
    <w:rsid w:val="00634929"/>
    <w:rsid w:val="00635568"/>
    <w:rsid w:val="006426AD"/>
    <w:rsid w:val="00666B3A"/>
    <w:rsid w:val="00680F2A"/>
    <w:rsid w:val="00685B24"/>
    <w:rsid w:val="006975ED"/>
    <w:rsid w:val="006B428E"/>
    <w:rsid w:val="006E16CF"/>
    <w:rsid w:val="006E4C52"/>
    <w:rsid w:val="006F472F"/>
    <w:rsid w:val="00712B96"/>
    <w:rsid w:val="007227F4"/>
    <w:rsid w:val="0075186B"/>
    <w:rsid w:val="00752036"/>
    <w:rsid w:val="007616B8"/>
    <w:rsid w:val="0077295D"/>
    <w:rsid w:val="007842FB"/>
    <w:rsid w:val="00791612"/>
    <w:rsid w:val="007D6228"/>
    <w:rsid w:val="007F2680"/>
    <w:rsid w:val="007F464D"/>
    <w:rsid w:val="00805BDA"/>
    <w:rsid w:val="00813DA3"/>
    <w:rsid w:val="0082315F"/>
    <w:rsid w:val="00840360"/>
    <w:rsid w:val="0084703D"/>
    <w:rsid w:val="00852A17"/>
    <w:rsid w:val="00856D6B"/>
    <w:rsid w:val="008904C8"/>
    <w:rsid w:val="008C291C"/>
    <w:rsid w:val="008E5274"/>
    <w:rsid w:val="008E5F54"/>
    <w:rsid w:val="008E7AA3"/>
    <w:rsid w:val="008F078E"/>
    <w:rsid w:val="00910366"/>
    <w:rsid w:val="00913B94"/>
    <w:rsid w:val="00920742"/>
    <w:rsid w:val="00937F59"/>
    <w:rsid w:val="0096238C"/>
    <w:rsid w:val="009750D8"/>
    <w:rsid w:val="00985B07"/>
    <w:rsid w:val="009B2959"/>
    <w:rsid w:val="009E0D6B"/>
    <w:rsid w:val="009F0E5B"/>
    <w:rsid w:val="00A205AF"/>
    <w:rsid w:val="00A92303"/>
    <w:rsid w:val="00A93BF2"/>
    <w:rsid w:val="00AB46BA"/>
    <w:rsid w:val="00AC5859"/>
    <w:rsid w:val="00AD20AB"/>
    <w:rsid w:val="00AF66B5"/>
    <w:rsid w:val="00B00DC1"/>
    <w:rsid w:val="00B137CA"/>
    <w:rsid w:val="00B2101F"/>
    <w:rsid w:val="00B330E5"/>
    <w:rsid w:val="00B34EE6"/>
    <w:rsid w:val="00B3521C"/>
    <w:rsid w:val="00B703FE"/>
    <w:rsid w:val="00B77B0E"/>
    <w:rsid w:val="00B86780"/>
    <w:rsid w:val="00B90482"/>
    <w:rsid w:val="00B95E27"/>
    <w:rsid w:val="00BA38E4"/>
    <w:rsid w:val="00BB1D4B"/>
    <w:rsid w:val="00BE6471"/>
    <w:rsid w:val="00C1215B"/>
    <w:rsid w:val="00C33F2C"/>
    <w:rsid w:val="00C7525A"/>
    <w:rsid w:val="00C77BD3"/>
    <w:rsid w:val="00CB3A11"/>
    <w:rsid w:val="00CB5288"/>
    <w:rsid w:val="00CB6623"/>
    <w:rsid w:val="00CC0CB6"/>
    <w:rsid w:val="00CD22F1"/>
    <w:rsid w:val="00CF0C08"/>
    <w:rsid w:val="00D11BBB"/>
    <w:rsid w:val="00D4202B"/>
    <w:rsid w:val="00D445DB"/>
    <w:rsid w:val="00D46F89"/>
    <w:rsid w:val="00DA2594"/>
    <w:rsid w:val="00DD1C7E"/>
    <w:rsid w:val="00DD1CA5"/>
    <w:rsid w:val="00DD1CAA"/>
    <w:rsid w:val="00DE1F81"/>
    <w:rsid w:val="00DF50B8"/>
    <w:rsid w:val="00E37F2B"/>
    <w:rsid w:val="00E54650"/>
    <w:rsid w:val="00EA6482"/>
    <w:rsid w:val="00EB51D5"/>
    <w:rsid w:val="00ED6467"/>
    <w:rsid w:val="00F31BDE"/>
    <w:rsid w:val="00F44AEB"/>
    <w:rsid w:val="00F45FDC"/>
    <w:rsid w:val="00F65B99"/>
    <w:rsid w:val="00F77F55"/>
    <w:rsid w:val="00F94B92"/>
    <w:rsid w:val="00FA4781"/>
    <w:rsid w:val="00FA71AC"/>
    <w:rsid w:val="00FA7A29"/>
    <w:rsid w:val="00FB6518"/>
    <w:rsid w:val="00FC0FEC"/>
    <w:rsid w:val="00FC1E6A"/>
    <w:rsid w:val="00FC2708"/>
    <w:rsid w:val="00FC5C1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2648500"/>
  <w15:chartTrackingRefBased/>
  <w15:docId w15:val="{D1371435-F1ED-477A-9588-F40D68308C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zh-CN"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666B3A"/>
    <w:pPr>
      <w:widowControl w:val="0"/>
      <w:jc w:val="both"/>
    </w:pPr>
    <w:rPr>
      <w:rFonts w:eastAsia="Times New Roman"/>
    </w:rPr>
  </w:style>
  <w:style w:type="paragraph" w:styleId="3">
    <w:name w:val="heading 3"/>
    <w:basedOn w:val="a"/>
    <w:next w:val="a"/>
    <w:link w:val="30"/>
    <w:uiPriority w:val="9"/>
    <w:semiHidden/>
    <w:unhideWhenUsed/>
    <w:qFormat/>
    <w:rsid w:val="00D4202B"/>
    <w:pPr>
      <w:keepNext/>
      <w:keepLines/>
      <w:spacing w:before="260" w:after="260" w:line="416" w:lineRule="auto"/>
      <w:outlineLvl w:val="2"/>
    </w:pPr>
    <w:rPr>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6E4C52"/>
    <w:pPr>
      <w:tabs>
        <w:tab w:val="center" w:pos="4153"/>
        <w:tab w:val="right" w:pos="8306"/>
      </w:tabs>
      <w:snapToGrid w:val="0"/>
      <w:jc w:val="center"/>
    </w:pPr>
    <w:rPr>
      <w:sz w:val="18"/>
      <w:szCs w:val="18"/>
    </w:rPr>
  </w:style>
  <w:style w:type="character" w:customStyle="1" w:styleId="a4">
    <w:name w:val="页眉 字符"/>
    <w:basedOn w:val="a0"/>
    <w:link w:val="a3"/>
    <w:uiPriority w:val="99"/>
    <w:rsid w:val="006E4C52"/>
    <w:rPr>
      <w:sz w:val="18"/>
      <w:szCs w:val="18"/>
    </w:rPr>
  </w:style>
  <w:style w:type="paragraph" w:styleId="a5">
    <w:name w:val="footer"/>
    <w:basedOn w:val="a"/>
    <w:link w:val="a6"/>
    <w:uiPriority w:val="99"/>
    <w:unhideWhenUsed/>
    <w:rsid w:val="006E4C52"/>
    <w:pPr>
      <w:tabs>
        <w:tab w:val="center" w:pos="4153"/>
        <w:tab w:val="right" w:pos="8306"/>
      </w:tabs>
      <w:snapToGrid w:val="0"/>
      <w:jc w:val="left"/>
    </w:pPr>
    <w:rPr>
      <w:sz w:val="18"/>
      <w:szCs w:val="18"/>
    </w:rPr>
  </w:style>
  <w:style w:type="character" w:customStyle="1" w:styleId="a6">
    <w:name w:val="页脚 字符"/>
    <w:basedOn w:val="a0"/>
    <w:link w:val="a5"/>
    <w:uiPriority w:val="99"/>
    <w:rsid w:val="006E4C52"/>
    <w:rPr>
      <w:sz w:val="18"/>
      <w:szCs w:val="18"/>
    </w:rPr>
  </w:style>
  <w:style w:type="paragraph" w:styleId="a7">
    <w:name w:val="List Paragraph"/>
    <w:basedOn w:val="a"/>
    <w:uiPriority w:val="34"/>
    <w:qFormat/>
    <w:rsid w:val="006E4C52"/>
    <w:pPr>
      <w:ind w:firstLineChars="200" w:firstLine="420"/>
    </w:pPr>
  </w:style>
  <w:style w:type="character" w:customStyle="1" w:styleId="30">
    <w:name w:val="标题 3 字符"/>
    <w:basedOn w:val="a0"/>
    <w:link w:val="3"/>
    <w:uiPriority w:val="9"/>
    <w:semiHidden/>
    <w:rsid w:val="00D4202B"/>
    <w:rPr>
      <w:b/>
      <w:bCs/>
      <w:sz w:val="32"/>
      <w:szCs w:val="32"/>
    </w:rPr>
  </w:style>
  <w:style w:type="character" w:styleId="a8">
    <w:name w:val="Hyperlink"/>
    <w:basedOn w:val="a0"/>
    <w:uiPriority w:val="99"/>
    <w:unhideWhenUsed/>
    <w:rsid w:val="006426AD"/>
    <w:rPr>
      <w:color w:val="0563C1" w:themeColor="hyperlink"/>
      <w:u w:val="single"/>
    </w:rPr>
  </w:style>
  <w:style w:type="paragraph" w:styleId="a9">
    <w:name w:val="caption"/>
    <w:basedOn w:val="a"/>
    <w:next w:val="a"/>
    <w:uiPriority w:val="35"/>
    <w:unhideWhenUsed/>
    <w:qFormat/>
    <w:rsid w:val="00680F2A"/>
    <w:pPr>
      <w:widowControl/>
      <w:spacing w:after="200"/>
    </w:pPr>
    <w:rPr>
      <w:rFonts w:ascii="Times New Roman" w:hAnsi="Times New Roman" w:cs="Times New Roman"/>
      <w:b/>
      <w:bCs/>
      <w:kern w:val="0"/>
      <w:sz w:val="18"/>
      <w:szCs w:val="18"/>
      <w:lang w:val="en-GB" w:eastAsia="de-DE"/>
      <w14:ligatures w14:val="none"/>
    </w:rPr>
  </w:style>
  <w:style w:type="paragraph" w:styleId="aa">
    <w:name w:val="Bibliography"/>
    <w:basedOn w:val="a"/>
    <w:next w:val="a"/>
    <w:uiPriority w:val="37"/>
    <w:unhideWhenUsed/>
    <w:rsid w:val="005F260D"/>
    <w:pPr>
      <w:spacing w:after="240"/>
    </w:pPr>
  </w:style>
  <w:style w:type="character" w:styleId="ab">
    <w:name w:val="annotation reference"/>
    <w:basedOn w:val="a0"/>
    <w:uiPriority w:val="99"/>
    <w:semiHidden/>
    <w:unhideWhenUsed/>
    <w:rsid w:val="00A92303"/>
    <w:rPr>
      <w:sz w:val="21"/>
      <w:szCs w:val="21"/>
    </w:rPr>
  </w:style>
  <w:style w:type="paragraph" w:styleId="ac">
    <w:name w:val="annotation text"/>
    <w:basedOn w:val="a"/>
    <w:link w:val="ad"/>
    <w:uiPriority w:val="99"/>
    <w:unhideWhenUsed/>
    <w:rsid w:val="00A92303"/>
    <w:pPr>
      <w:jc w:val="left"/>
    </w:pPr>
  </w:style>
  <w:style w:type="character" w:customStyle="1" w:styleId="ad">
    <w:name w:val="批注文字 字符"/>
    <w:basedOn w:val="a0"/>
    <w:link w:val="ac"/>
    <w:uiPriority w:val="99"/>
    <w:rsid w:val="00A92303"/>
    <w:rPr>
      <w:rFonts w:eastAsia="Times New Roman"/>
    </w:rPr>
  </w:style>
  <w:style w:type="paragraph" w:styleId="ae">
    <w:name w:val="annotation subject"/>
    <w:basedOn w:val="ac"/>
    <w:next w:val="ac"/>
    <w:link w:val="af"/>
    <w:uiPriority w:val="99"/>
    <w:semiHidden/>
    <w:unhideWhenUsed/>
    <w:rsid w:val="00A92303"/>
    <w:rPr>
      <w:b/>
      <w:bCs/>
    </w:rPr>
  </w:style>
  <w:style w:type="character" w:customStyle="1" w:styleId="af">
    <w:name w:val="批注主题 字符"/>
    <w:basedOn w:val="ad"/>
    <w:link w:val="ae"/>
    <w:uiPriority w:val="99"/>
    <w:semiHidden/>
    <w:rsid w:val="00A92303"/>
    <w:rPr>
      <w:rFonts w:eastAsia="Times New Roman"/>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380822">
      <w:bodyDiv w:val="1"/>
      <w:marLeft w:val="0"/>
      <w:marRight w:val="0"/>
      <w:marTop w:val="0"/>
      <w:marBottom w:val="0"/>
      <w:divBdr>
        <w:top w:val="none" w:sz="0" w:space="0" w:color="auto"/>
        <w:left w:val="none" w:sz="0" w:space="0" w:color="auto"/>
        <w:bottom w:val="none" w:sz="0" w:space="0" w:color="auto"/>
        <w:right w:val="none" w:sz="0" w:space="0" w:color="auto"/>
      </w:divBdr>
    </w:div>
    <w:div w:id="88240713">
      <w:bodyDiv w:val="1"/>
      <w:marLeft w:val="0"/>
      <w:marRight w:val="0"/>
      <w:marTop w:val="0"/>
      <w:marBottom w:val="0"/>
      <w:divBdr>
        <w:top w:val="none" w:sz="0" w:space="0" w:color="auto"/>
        <w:left w:val="none" w:sz="0" w:space="0" w:color="auto"/>
        <w:bottom w:val="none" w:sz="0" w:space="0" w:color="auto"/>
        <w:right w:val="none" w:sz="0" w:space="0" w:color="auto"/>
      </w:divBdr>
    </w:div>
    <w:div w:id="100952858">
      <w:bodyDiv w:val="1"/>
      <w:marLeft w:val="0"/>
      <w:marRight w:val="0"/>
      <w:marTop w:val="0"/>
      <w:marBottom w:val="0"/>
      <w:divBdr>
        <w:top w:val="none" w:sz="0" w:space="0" w:color="auto"/>
        <w:left w:val="none" w:sz="0" w:space="0" w:color="auto"/>
        <w:bottom w:val="none" w:sz="0" w:space="0" w:color="auto"/>
        <w:right w:val="none" w:sz="0" w:space="0" w:color="auto"/>
      </w:divBdr>
    </w:div>
    <w:div w:id="144976591">
      <w:bodyDiv w:val="1"/>
      <w:marLeft w:val="0"/>
      <w:marRight w:val="0"/>
      <w:marTop w:val="0"/>
      <w:marBottom w:val="0"/>
      <w:divBdr>
        <w:top w:val="none" w:sz="0" w:space="0" w:color="auto"/>
        <w:left w:val="none" w:sz="0" w:space="0" w:color="auto"/>
        <w:bottom w:val="none" w:sz="0" w:space="0" w:color="auto"/>
        <w:right w:val="none" w:sz="0" w:space="0" w:color="auto"/>
      </w:divBdr>
    </w:div>
    <w:div w:id="260375257">
      <w:bodyDiv w:val="1"/>
      <w:marLeft w:val="0"/>
      <w:marRight w:val="0"/>
      <w:marTop w:val="0"/>
      <w:marBottom w:val="0"/>
      <w:divBdr>
        <w:top w:val="none" w:sz="0" w:space="0" w:color="auto"/>
        <w:left w:val="none" w:sz="0" w:space="0" w:color="auto"/>
        <w:bottom w:val="none" w:sz="0" w:space="0" w:color="auto"/>
        <w:right w:val="none" w:sz="0" w:space="0" w:color="auto"/>
      </w:divBdr>
    </w:div>
    <w:div w:id="281353058">
      <w:bodyDiv w:val="1"/>
      <w:marLeft w:val="0"/>
      <w:marRight w:val="0"/>
      <w:marTop w:val="0"/>
      <w:marBottom w:val="0"/>
      <w:divBdr>
        <w:top w:val="none" w:sz="0" w:space="0" w:color="auto"/>
        <w:left w:val="none" w:sz="0" w:space="0" w:color="auto"/>
        <w:bottom w:val="none" w:sz="0" w:space="0" w:color="auto"/>
        <w:right w:val="none" w:sz="0" w:space="0" w:color="auto"/>
      </w:divBdr>
    </w:div>
    <w:div w:id="281421872">
      <w:bodyDiv w:val="1"/>
      <w:marLeft w:val="0"/>
      <w:marRight w:val="0"/>
      <w:marTop w:val="0"/>
      <w:marBottom w:val="0"/>
      <w:divBdr>
        <w:top w:val="none" w:sz="0" w:space="0" w:color="auto"/>
        <w:left w:val="none" w:sz="0" w:space="0" w:color="auto"/>
        <w:bottom w:val="none" w:sz="0" w:space="0" w:color="auto"/>
        <w:right w:val="none" w:sz="0" w:space="0" w:color="auto"/>
      </w:divBdr>
      <w:divsChild>
        <w:div w:id="259874323">
          <w:marLeft w:val="0"/>
          <w:marRight w:val="0"/>
          <w:marTop w:val="0"/>
          <w:marBottom w:val="0"/>
          <w:divBdr>
            <w:top w:val="none" w:sz="0" w:space="0" w:color="auto"/>
            <w:left w:val="none" w:sz="0" w:space="0" w:color="auto"/>
            <w:bottom w:val="none" w:sz="0" w:space="0" w:color="auto"/>
            <w:right w:val="none" w:sz="0" w:space="0" w:color="auto"/>
          </w:divBdr>
          <w:divsChild>
            <w:div w:id="1212379157">
              <w:marLeft w:val="0"/>
              <w:marRight w:val="0"/>
              <w:marTop w:val="0"/>
              <w:marBottom w:val="0"/>
              <w:divBdr>
                <w:top w:val="none" w:sz="0" w:space="0" w:color="auto"/>
                <w:left w:val="none" w:sz="0" w:space="0" w:color="auto"/>
                <w:bottom w:val="none" w:sz="0" w:space="0" w:color="auto"/>
                <w:right w:val="none" w:sz="0" w:space="0" w:color="auto"/>
              </w:divBdr>
              <w:divsChild>
                <w:div w:id="2018849310">
                  <w:marLeft w:val="0"/>
                  <w:marRight w:val="0"/>
                  <w:marTop w:val="0"/>
                  <w:marBottom w:val="0"/>
                  <w:divBdr>
                    <w:top w:val="none" w:sz="0" w:space="0" w:color="auto"/>
                    <w:left w:val="none" w:sz="0" w:space="0" w:color="auto"/>
                    <w:bottom w:val="none" w:sz="0" w:space="0" w:color="auto"/>
                    <w:right w:val="none" w:sz="0" w:space="0" w:color="auto"/>
                  </w:divBdr>
                  <w:divsChild>
                    <w:div w:id="416176714">
                      <w:marLeft w:val="0"/>
                      <w:marRight w:val="0"/>
                      <w:marTop w:val="0"/>
                      <w:marBottom w:val="0"/>
                      <w:divBdr>
                        <w:top w:val="none" w:sz="0" w:space="0" w:color="auto"/>
                        <w:left w:val="none" w:sz="0" w:space="0" w:color="auto"/>
                        <w:bottom w:val="none" w:sz="0" w:space="0" w:color="auto"/>
                        <w:right w:val="none" w:sz="0" w:space="0" w:color="auto"/>
                      </w:divBdr>
                      <w:divsChild>
                        <w:div w:id="368729752">
                          <w:marLeft w:val="0"/>
                          <w:marRight w:val="0"/>
                          <w:marTop w:val="0"/>
                          <w:marBottom w:val="0"/>
                          <w:divBdr>
                            <w:top w:val="none" w:sz="0" w:space="0" w:color="auto"/>
                            <w:left w:val="none" w:sz="0" w:space="0" w:color="auto"/>
                            <w:bottom w:val="none" w:sz="0" w:space="0" w:color="auto"/>
                            <w:right w:val="none" w:sz="0" w:space="0" w:color="auto"/>
                          </w:divBdr>
                          <w:divsChild>
                            <w:div w:id="1483422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54775053">
      <w:bodyDiv w:val="1"/>
      <w:marLeft w:val="0"/>
      <w:marRight w:val="0"/>
      <w:marTop w:val="0"/>
      <w:marBottom w:val="0"/>
      <w:divBdr>
        <w:top w:val="none" w:sz="0" w:space="0" w:color="auto"/>
        <w:left w:val="none" w:sz="0" w:space="0" w:color="auto"/>
        <w:bottom w:val="none" w:sz="0" w:space="0" w:color="auto"/>
        <w:right w:val="none" w:sz="0" w:space="0" w:color="auto"/>
      </w:divBdr>
    </w:div>
    <w:div w:id="437917510">
      <w:bodyDiv w:val="1"/>
      <w:marLeft w:val="0"/>
      <w:marRight w:val="0"/>
      <w:marTop w:val="0"/>
      <w:marBottom w:val="0"/>
      <w:divBdr>
        <w:top w:val="none" w:sz="0" w:space="0" w:color="auto"/>
        <w:left w:val="none" w:sz="0" w:space="0" w:color="auto"/>
        <w:bottom w:val="none" w:sz="0" w:space="0" w:color="auto"/>
        <w:right w:val="none" w:sz="0" w:space="0" w:color="auto"/>
      </w:divBdr>
      <w:divsChild>
        <w:div w:id="1383213328">
          <w:marLeft w:val="0"/>
          <w:marRight w:val="0"/>
          <w:marTop w:val="0"/>
          <w:marBottom w:val="0"/>
          <w:divBdr>
            <w:top w:val="none" w:sz="0" w:space="0" w:color="auto"/>
            <w:left w:val="none" w:sz="0" w:space="0" w:color="auto"/>
            <w:bottom w:val="none" w:sz="0" w:space="0" w:color="auto"/>
            <w:right w:val="none" w:sz="0" w:space="0" w:color="auto"/>
          </w:divBdr>
          <w:divsChild>
            <w:div w:id="1704746873">
              <w:marLeft w:val="0"/>
              <w:marRight w:val="0"/>
              <w:marTop w:val="0"/>
              <w:marBottom w:val="0"/>
              <w:divBdr>
                <w:top w:val="none" w:sz="0" w:space="0" w:color="auto"/>
                <w:left w:val="none" w:sz="0" w:space="0" w:color="auto"/>
                <w:bottom w:val="none" w:sz="0" w:space="0" w:color="auto"/>
                <w:right w:val="none" w:sz="0" w:space="0" w:color="auto"/>
              </w:divBdr>
              <w:divsChild>
                <w:div w:id="204611165">
                  <w:marLeft w:val="0"/>
                  <w:marRight w:val="0"/>
                  <w:marTop w:val="0"/>
                  <w:marBottom w:val="0"/>
                  <w:divBdr>
                    <w:top w:val="none" w:sz="0" w:space="0" w:color="auto"/>
                    <w:left w:val="none" w:sz="0" w:space="0" w:color="auto"/>
                    <w:bottom w:val="none" w:sz="0" w:space="0" w:color="auto"/>
                    <w:right w:val="none" w:sz="0" w:space="0" w:color="auto"/>
                  </w:divBdr>
                  <w:divsChild>
                    <w:div w:id="1120993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4644557">
          <w:marLeft w:val="0"/>
          <w:marRight w:val="0"/>
          <w:marTop w:val="0"/>
          <w:marBottom w:val="0"/>
          <w:divBdr>
            <w:top w:val="none" w:sz="0" w:space="0" w:color="auto"/>
            <w:left w:val="none" w:sz="0" w:space="0" w:color="auto"/>
            <w:bottom w:val="none" w:sz="0" w:space="0" w:color="auto"/>
            <w:right w:val="none" w:sz="0" w:space="0" w:color="auto"/>
          </w:divBdr>
          <w:divsChild>
            <w:div w:id="255139047">
              <w:marLeft w:val="0"/>
              <w:marRight w:val="0"/>
              <w:marTop w:val="0"/>
              <w:marBottom w:val="0"/>
              <w:divBdr>
                <w:top w:val="none" w:sz="0" w:space="0" w:color="auto"/>
                <w:left w:val="none" w:sz="0" w:space="0" w:color="auto"/>
                <w:bottom w:val="none" w:sz="0" w:space="0" w:color="auto"/>
                <w:right w:val="none" w:sz="0" w:space="0" w:color="auto"/>
              </w:divBdr>
              <w:divsChild>
                <w:div w:id="2061049605">
                  <w:marLeft w:val="0"/>
                  <w:marRight w:val="0"/>
                  <w:marTop w:val="0"/>
                  <w:marBottom w:val="0"/>
                  <w:divBdr>
                    <w:top w:val="none" w:sz="0" w:space="0" w:color="auto"/>
                    <w:left w:val="none" w:sz="0" w:space="0" w:color="auto"/>
                    <w:bottom w:val="none" w:sz="0" w:space="0" w:color="auto"/>
                    <w:right w:val="none" w:sz="0" w:space="0" w:color="auto"/>
                  </w:divBdr>
                  <w:divsChild>
                    <w:div w:id="1833448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11338367">
      <w:bodyDiv w:val="1"/>
      <w:marLeft w:val="0"/>
      <w:marRight w:val="0"/>
      <w:marTop w:val="0"/>
      <w:marBottom w:val="0"/>
      <w:divBdr>
        <w:top w:val="none" w:sz="0" w:space="0" w:color="auto"/>
        <w:left w:val="none" w:sz="0" w:space="0" w:color="auto"/>
        <w:bottom w:val="none" w:sz="0" w:space="0" w:color="auto"/>
        <w:right w:val="none" w:sz="0" w:space="0" w:color="auto"/>
      </w:divBdr>
    </w:div>
    <w:div w:id="653489312">
      <w:bodyDiv w:val="1"/>
      <w:marLeft w:val="0"/>
      <w:marRight w:val="0"/>
      <w:marTop w:val="0"/>
      <w:marBottom w:val="0"/>
      <w:divBdr>
        <w:top w:val="none" w:sz="0" w:space="0" w:color="auto"/>
        <w:left w:val="none" w:sz="0" w:space="0" w:color="auto"/>
        <w:bottom w:val="none" w:sz="0" w:space="0" w:color="auto"/>
        <w:right w:val="none" w:sz="0" w:space="0" w:color="auto"/>
      </w:divBdr>
      <w:divsChild>
        <w:div w:id="2083481181">
          <w:marLeft w:val="0"/>
          <w:marRight w:val="0"/>
          <w:marTop w:val="0"/>
          <w:marBottom w:val="0"/>
          <w:divBdr>
            <w:top w:val="none" w:sz="0" w:space="0" w:color="auto"/>
            <w:left w:val="none" w:sz="0" w:space="0" w:color="auto"/>
            <w:bottom w:val="none" w:sz="0" w:space="0" w:color="auto"/>
            <w:right w:val="none" w:sz="0" w:space="0" w:color="auto"/>
          </w:divBdr>
          <w:divsChild>
            <w:div w:id="1459640519">
              <w:marLeft w:val="0"/>
              <w:marRight w:val="0"/>
              <w:marTop w:val="0"/>
              <w:marBottom w:val="0"/>
              <w:divBdr>
                <w:top w:val="none" w:sz="0" w:space="0" w:color="auto"/>
                <w:left w:val="none" w:sz="0" w:space="0" w:color="auto"/>
                <w:bottom w:val="none" w:sz="0" w:space="0" w:color="auto"/>
                <w:right w:val="none" w:sz="0" w:space="0" w:color="auto"/>
              </w:divBdr>
              <w:divsChild>
                <w:div w:id="817117063">
                  <w:marLeft w:val="0"/>
                  <w:marRight w:val="0"/>
                  <w:marTop w:val="0"/>
                  <w:marBottom w:val="0"/>
                  <w:divBdr>
                    <w:top w:val="none" w:sz="0" w:space="0" w:color="auto"/>
                    <w:left w:val="none" w:sz="0" w:space="0" w:color="auto"/>
                    <w:bottom w:val="none" w:sz="0" w:space="0" w:color="auto"/>
                    <w:right w:val="none" w:sz="0" w:space="0" w:color="auto"/>
                  </w:divBdr>
                  <w:divsChild>
                    <w:div w:id="1029182186">
                      <w:marLeft w:val="0"/>
                      <w:marRight w:val="0"/>
                      <w:marTop w:val="0"/>
                      <w:marBottom w:val="0"/>
                      <w:divBdr>
                        <w:top w:val="none" w:sz="0" w:space="0" w:color="auto"/>
                        <w:left w:val="none" w:sz="0" w:space="0" w:color="auto"/>
                        <w:bottom w:val="none" w:sz="0" w:space="0" w:color="auto"/>
                        <w:right w:val="none" w:sz="0" w:space="0" w:color="auto"/>
                      </w:divBdr>
                      <w:divsChild>
                        <w:div w:id="2055081750">
                          <w:marLeft w:val="0"/>
                          <w:marRight w:val="0"/>
                          <w:marTop w:val="0"/>
                          <w:marBottom w:val="0"/>
                          <w:divBdr>
                            <w:top w:val="none" w:sz="0" w:space="0" w:color="auto"/>
                            <w:left w:val="none" w:sz="0" w:space="0" w:color="auto"/>
                            <w:bottom w:val="none" w:sz="0" w:space="0" w:color="auto"/>
                            <w:right w:val="none" w:sz="0" w:space="0" w:color="auto"/>
                          </w:divBdr>
                          <w:divsChild>
                            <w:div w:id="674571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78509030">
      <w:bodyDiv w:val="1"/>
      <w:marLeft w:val="0"/>
      <w:marRight w:val="0"/>
      <w:marTop w:val="0"/>
      <w:marBottom w:val="0"/>
      <w:divBdr>
        <w:top w:val="none" w:sz="0" w:space="0" w:color="auto"/>
        <w:left w:val="none" w:sz="0" w:space="0" w:color="auto"/>
        <w:bottom w:val="none" w:sz="0" w:space="0" w:color="auto"/>
        <w:right w:val="none" w:sz="0" w:space="0" w:color="auto"/>
      </w:divBdr>
    </w:div>
    <w:div w:id="803354096">
      <w:bodyDiv w:val="1"/>
      <w:marLeft w:val="0"/>
      <w:marRight w:val="0"/>
      <w:marTop w:val="0"/>
      <w:marBottom w:val="0"/>
      <w:divBdr>
        <w:top w:val="none" w:sz="0" w:space="0" w:color="auto"/>
        <w:left w:val="none" w:sz="0" w:space="0" w:color="auto"/>
        <w:bottom w:val="none" w:sz="0" w:space="0" w:color="auto"/>
        <w:right w:val="none" w:sz="0" w:space="0" w:color="auto"/>
      </w:divBdr>
    </w:div>
    <w:div w:id="1366175182">
      <w:bodyDiv w:val="1"/>
      <w:marLeft w:val="0"/>
      <w:marRight w:val="0"/>
      <w:marTop w:val="0"/>
      <w:marBottom w:val="0"/>
      <w:divBdr>
        <w:top w:val="none" w:sz="0" w:space="0" w:color="auto"/>
        <w:left w:val="none" w:sz="0" w:space="0" w:color="auto"/>
        <w:bottom w:val="none" w:sz="0" w:space="0" w:color="auto"/>
        <w:right w:val="none" w:sz="0" w:space="0" w:color="auto"/>
      </w:divBdr>
    </w:div>
    <w:div w:id="1469930155">
      <w:bodyDiv w:val="1"/>
      <w:marLeft w:val="0"/>
      <w:marRight w:val="0"/>
      <w:marTop w:val="0"/>
      <w:marBottom w:val="0"/>
      <w:divBdr>
        <w:top w:val="none" w:sz="0" w:space="0" w:color="auto"/>
        <w:left w:val="none" w:sz="0" w:space="0" w:color="auto"/>
        <w:bottom w:val="none" w:sz="0" w:space="0" w:color="auto"/>
        <w:right w:val="none" w:sz="0" w:space="0" w:color="auto"/>
      </w:divBdr>
    </w:div>
    <w:div w:id="1824006107">
      <w:bodyDiv w:val="1"/>
      <w:marLeft w:val="0"/>
      <w:marRight w:val="0"/>
      <w:marTop w:val="0"/>
      <w:marBottom w:val="0"/>
      <w:divBdr>
        <w:top w:val="none" w:sz="0" w:space="0" w:color="auto"/>
        <w:left w:val="none" w:sz="0" w:space="0" w:color="auto"/>
        <w:bottom w:val="none" w:sz="0" w:space="0" w:color="auto"/>
        <w:right w:val="none" w:sz="0" w:space="0" w:color="auto"/>
      </w:divBdr>
    </w:div>
    <w:div w:id="1885678968">
      <w:bodyDiv w:val="1"/>
      <w:marLeft w:val="0"/>
      <w:marRight w:val="0"/>
      <w:marTop w:val="0"/>
      <w:marBottom w:val="0"/>
      <w:divBdr>
        <w:top w:val="none" w:sz="0" w:space="0" w:color="auto"/>
        <w:left w:val="none" w:sz="0" w:space="0" w:color="auto"/>
        <w:bottom w:val="none" w:sz="0" w:space="0" w:color="auto"/>
        <w:right w:val="none" w:sz="0" w:space="0" w:color="auto"/>
      </w:divBdr>
      <w:divsChild>
        <w:div w:id="2037463521">
          <w:marLeft w:val="0"/>
          <w:marRight w:val="0"/>
          <w:marTop w:val="0"/>
          <w:marBottom w:val="0"/>
          <w:divBdr>
            <w:top w:val="none" w:sz="0" w:space="0" w:color="auto"/>
            <w:left w:val="none" w:sz="0" w:space="0" w:color="auto"/>
            <w:bottom w:val="none" w:sz="0" w:space="0" w:color="auto"/>
            <w:right w:val="none" w:sz="0" w:space="0" w:color="auto"/>
          </w:divBdr>
          <w:divsChild>
            <w:div w:id="1884248247">
              <w:marLeft w:val="0"/>
              <w:marRight w:val="0"/>
              <w:marTop w:val="0"/>
              <w:marBottom w:val="0"/>
              <w:divBdr>
                <w:top w:val="none" w:sz="0" w:space="0" w:color="auto"/>
                <w:left w:val="none" w:sz="0" w:space="0" w:color="auto"/>
                <w:bottom w:val="none" w:sz="0" w:space="0" w:color="auto"/>
                <w:right w:val="none" w:sz="0" w:space="0" w:color="auto"/>
              </w:divBdr>
              <w:divsChild>
                <w:div w:id="1974749832">
                  <w:marLeft w:val="0"/>
                  <w:marRight w:val="0"/>
                  <w:marTop w:val="0"/>
                  <w:marBottom w:val="0"/>
                  <w:divBdr>
                    <w:top w:val="none" w:sz="0" w:space="0" w:color="auto"/>
                    <w:left w:val="none" w:sz="0" w:space="0" w:color="auto"/>
                    <w:bottom w:val="none" w:sz="0" w:space="0" w:color="auto"/>
                    <w:right w:val="none" w:sz="0" w:space="0" w:color="auto"/>
                  </w:divBdr>
                  <w:divsChild>
                    <w:div w:id="1334646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7226261">
          <w:marLeft w:val="0"/>
          <w:marRight w:val="0"/>
          <w:marTop w:val="0"/>
          <w:marBottom w:val="0"/>
          <w:divBdr>
            <w:top w:val="none" w:sz="0" w:space="0" w:color="auto"/>
            <w:left w:val="none" w:sz="0" w:space="0" w:color="auto"/>
            <w:bottom w:val="none" w:sz="0" w:space="0" w:color="auto"/>
            <w:right w:val="none" w:sz="0" w:space="0" w:color="auto"/>
          </w:divBdr>
          <w:divsChild>
            <w:div w:id="1484198742">
              <w:marLeft w:val="0"/>
              <w:marRight w:val="0"/>
              <w:marTop w:val="0"/>
              <w:marBottom w:val="0"/>
              <w:divBdr>
                <w:top w:val="none" w:sz="0" w:space="0" w:color="auto"/>
                <w:left w:val="none" w:sz="0" w:space="0" w:color="auto"/>
                <w:bottom w:val="none" w:sz="0" w:space="0" w:color="auto"/>
                <w:right w:val="none" w:sz="0" w:space="0" w:color="auto"/>
              </w:divBdr>
              <w:divsChild>
                <w:div w:id="1886288667">
                  <w:marLeft w:val="0"/>
                  <w:marRight w:val="0"/>
                  <w:marTop w:val="0"/>
                  <w:marBottom w:val="0"/>
                  <w:divBdr>
                    <w:top w:val="none" w:sz="0" w:space="0" w:color="auto"/>
                    <w:left w:val="none" w:sz="0" w:space="0" w:color="auto"/>
                    <w:bottom w:val="none" w:sz="0" w:space="0" w:color="auto"/>
                    <w:right w:val="none" w:sz="0" w:space="0" w:color="auto"/>
                  </w:divBdr>
                  <w:divsChild>
                    <w:div w:id="2146270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305815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doi.org/10.5281/zenodo.13827861" TargetMode="External"/><Relationship Id="rId12" Type="http://schemas.openxmlformats.org/officeDocument/2006/relationships/hyperlink" Target="https://doi.org/10.5281/zenodo.13827861" TargetMode="External"/><Relationship Id="rId17" Type="http://schemas.openxmlformats.org/officeDocument/2006/relationships/image" Target="media/image6.jpeg"/><Relationship Id="rId2" Type="http://schemas.openxmlformats.org/officeDocument/2006/relationships/styles" Target="styles.xml"/><Relationship Id="rId16" Type="http://schemas.openxmlformats.org/officeDocument/2006/relationships/image" Target="media/image5.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doi.org/10.5281/zenodo.13827861" TargetMode="External"/><Relationship Id="rId5" Type="http://schemas.openxmlformats.org/officeDocument/2006/relationships/footnotes" Target="footnotes.xml"/><Relationship Id="rId15" Type="http://schemas.openxmlformats.org/officeDocument/2006/relationships/image" Target="media/image4.jpeg"/><Relationship Id="rId10" Type="http://schemas.openxmlformats.org/officeDocument/2006/relationships/hyperlink" Target="https://doi.org/10.5281/zenodo.13827861" TargetMode="Externa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yperlink" Target="https://doi.org/10.5281/zenodo.13827861"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822</TotalTime>
  <Pages>16</Pages>
  <Words>14828</Words>
  <Characters>84524</Characters>
  <Application>Microsoft Office Word</Application>
  <DocSecurity>0</DocSecurity>
  <Lines>704</Lines>
  <Paragraphs>198</Paragraphs>
  <ScaleCrop>false</ScaleCrop>
  <Company/>
  <LinksUpToDate>false</LinksUpToDate>
  <CharactersWithSpaces>99154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 Niu</dc:creator>
  <cp:keywords/>
  <dc:description/>
  <cp:lastModifiedBy>xifengming@iae.ac.cn</cp:lastModifiedBy>
  <cp:revision>3</cp:revision>
  <dcterms:created xsi:type="dcterms:W3CDTF">2024-12-31T00:07:00Z</dcterms:created>
  <dcterms:modified xsi:type="dcterms:W3CDTF">2024-12-31T08:29:00Z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zotero-version="7.0.11"&gt;&lt;session id="IYq2KKek"/&gt;&lt;style id="http://www.zotero.org/styles/earth-system-science-data" hasBibliography="1" bibliographyStyleHasBeenSet="1"/&gt;&lt;prefs&gt;&lt;pref name="fieldType" value="Field"/&gt;&lt;/prefs&gt;&lt;/data&gt;</vt:lpwstr>
  </property>
</Properties>
</file>